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35FD8" w14:textId="77777777" w:rsidR="00B96C7B" w:rsidRDefault="00B669C0" w:rsidP="00377AF2">
      <w:pPr>
        <w:pStyle w:val="NormalWeb"/>
        <w:jc w:val="both"/>
        <w:sectPr w:rsidR="00B96C7B" w:rsidSect="00377AF2">
          <w:headerReference w:type="even" r:id="rId8"/>
          <w:headerReference w:type="default" r:id="rId9"/>
          <w:footerReference w:type="default" r:id="rId10"/>
          <w:headerReference w:type="first" r:id="rId11"/>
          <w:pgSz w:w="11906" w:h="16838"/>
          <w:pgMar w:top="720" w:right="720" w:bottom="720" w:left="720" w:header="708" w:footer="708" w:gutter="0"/>
          <w:cols w:space="708"/>
          <w:titlePg/>
          <w:docGrid w:linePitch="360"/>
        </w:sectPr>
      </w:pPr>
      <w:r>
        <w:rPr>
          <w:noProof/>
        </w:rPr>
        <w:drawing>
          <wp:inline distT="0" distB="0" distL="0" distR="0" wp14:anchorId="6761A211" wp14:editId="10702579">
            <wp:extent cx="6639753" cy="9384631"/>
            <wp:effectExtent l="0" t="0" r="8890" b="762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0849" cy="9456850"/>
                    </a:xfrm>
                    <a:prstGeom prst="rect">
                      <a:avLst/>
                    </a:prstGeom>
                    <a:noFill/>
                    <a:ln>
                      <a:noFill/>
                    </a:ln>
                  </pic:spPr>
                </pic:pic>
              </a:graphicData>
            </a:graphic>
          </wp:inline>
        </w:drawing>
      </w:r>
    </w:p>
    <w:sdt>
      <w:sdtPr>
        <w:rPr>
          <w:rFonts w:asciiTheme="minorHAnsi" w:eastAsiaTheme="minorHAnsi" w:hAnsiTheme="minorHAnsi" w:cstheme="minorBidi"/>
          <w:color w:val="auto"/>
          <w:kern w:val="2"/>
          <w:sz w:val="24"/>
          <w:szCs w:val="24"/>
          <w:lang w:val="en-GB"/>
          <w14:ligatures w14:val="standardContextual"/>
        </w:rPr>
        <w:id w:val="-1085837506"/>
        <w:docPartObj>
          <w:docPartGallery w:val="Table of Contents"/>
          <w:docPartUnique/>
        </w:docPartObj>
      </w:sdtPr>
      <w:sdtEndPr>
        <w:rPr>
          <w:b/>
          <w:bCs/>
          <w:noProof/>
        </w:rPr>
      </w:sdtEndPr>
      <w:sdtContent>
        <w:p w14:paraId="576EC78F" w14:textId="417C7BBF" w:rsidR="007B5D9D" w:rsidRDefault="007B5D9D">
          <w:pPr>
            <w:pStyle w:val="TOCHeading"/>
          </w:pPr>
          <w:r>
            <w:t>Contents</w:t>
          </w:r>
        </w:p>
        <w:p w14:paraId="01AAD2D2" w14:textId="3CAFD99D" w:rsidR="00BC48D1" w:rsidRDefault="007B5D9D">
          <w:pPr>
            <w:pStyle w:val="TOC1"/>
            <w:tabs>
              <w:tab w:val="right" w:leader="dot" w:pos="9736"/>
            </w:tabs>
            <w:rPr>
              <w:rFonts w:cstheme="minorBidi"/>
              <w:noProof/>
              <w:kern w:val="2"/>
              <w:sz w:val="24"/>
              <w:szCs w:val="24"/>
              <w:lang w:val="en-GB" w:eastAsia="en-GB"/>
              <w14:ligatures w14:val="standardContextual"/>
            </w:rPr>
          </w:pPr>
          <w:r w:rsidRPr="007B5D9D">
            <w:rPr>
              <w:rFonts w:ascii="Calibri" w:hAnsi="Calibri" w:cs="Calibri"/>
            </w:rPr>
            <w:fldChar w:fldCharType="begin"/>
          </w:r>
          <w:r w:rsidRPr="007B5D9D">
            <w:rPr>
              <w:rFonts w:ascii="Calibri" w:hAnsi="Calibri" w:cs="Calibri"/>
            </w:rPr>
            <w:instrText xml:space="preserve"> TOC \o "1-3" \h \z \u </w:instrText>
          </w:r>
          <w:r w:rsidRPr="007B5D9D">
            <w:rPr>
              <w:rFonts w:ascii="Calibri" w:hAnsi="Calibri" w:cs="Calibri"/>
            </w:rPr>
            <w:fldChar w:fldCharType="separate"/>
          </w:r>
          <w:hyperlink w:anchor="_Toc231462472" w:history="1">
            <w:r w:rsidR="00BC48D1" w:rsidRPr="00915A97">
              <w:rPr>
                <w:rStyle w:val="Hyperlink"/>
                <w:noProof/>
              </w:rPr>
              <w:t>Foreword</w:t>
            </w:r>
            <w:r w:rsidR="00BC48D1">
              <w:rPr>
                <w:noProof/>
                <w:webHidden/>
              </w:rPr>
              <w:tab/>
            </w:r>
            <w:r w:rsidR="00BC48D1">
              <w:rPr>
                <w:noProof/>
                <w:webHidden/>
              </w:rPr>
              <w:fldChar w:fldCharType="begin"/>
            </w:r>
            <w:r w:rsidR="00BC48D1">
              <w:rPr>
                <w:noProof/>
                <w:webHidden/>
              </w:rPr>
              <w:instrText xml:space="preserve"> PAGEREF _Toc231462472 \h </w:instrText>
            </w:r>
            <w:r w:rsidR="00BC48D1">
              <w:rPr>
                <w:noProof/>
                <w:webHidden/>
              </w:rPr>
            </w:r>
            <w:r w:rsidR="00BC48D1">
              <w:rPr>
                <w:noProof/>
                <w:webHidden/>
              </w:rPr>
              <w:fldChar w:fldCharType="separate"/>
            </w:r>
            <w:r w:rsidR="00BC48D1">
              <w:rPr>
                <w:noProof/>
                <w:webHidden/>
              </w:rPr>
              <w:t>4</w:t>
            </w:r>
            <w:r w:rsidR="00BC48D1">
              <w:rPr>
                <w:noProof/>
                <w:webHidden/>
              </w:rPr>
              <w:fldChar w:fldCharType="end"/>
            </w:r>
          </w:hyperlink>
        </w:p>
        <w:p w14:paraId="11667FA9" w14:textId="3B4DE22E" w:rsidR="00BC48D1" w:rsidRDefault="00BC48D1">
          <w:pPr>
            <w:pStyle w:val="TOC1"/>
            <w:tabs>
              <w:tab w:val="right" w:leader="dot" w:pos="9736"/>
            </w:tabs>
            <w:rPr>
              <w:rFonts w:cstheme="minorBidi"/>
              <w:noProof/>
              <w:kern w:val="2"/>
              <w:sz w:val="24"/>
              <w:szCs w:val="24"/>
              <w:lang w:val="en-GB" w:eastAsia="en-GB"/>
              <w14:ligatures w14:val="standardContextual"/>
            </w:rPr>
          </w:pPr>
          <w:hyperlink w:anchor="_Toc231462473" w:history="1">
            <w:r w:rsidRPr="00915A97">
              <w:rPr>
                <w:rStyle w:val="Hyperlink"/>
                <w:noProof/>
              </w:rPr>
              <w:t>Section 1: Executive Summary</w:t>
            </w:r>
            <w:r>
              <w:rPr>
                <w:noProof/>
                <w:webHidden/>
              </w:rPr>
              <w:tab/>
            </w:r>
            <w:r>
              <w:rPr>
                <w:noProof/>
                <w:webHidden/>
              </w:rPr>
              <w:fldChar w:fldCharType="begin"/>
            </w:r>
            <w:r>
              <w:rPr>
                <w:noProof/>
                <w:webHidden/>
              </w:rPr>
              <w:instrText xml:space="preserve"> PAGEREF _Toc231462473 \h </w:instrText>
            </w:r>
            <w:r>
              <w:rPr>
                <w:noProof/>
                <w:webHidden/>
              </w:rPr>
            </w:r>
            <w:r>
              <w:rPr>
                <w:noProof/>
                <w:webHidden/>
              </w:rPr>
              <w:fldChar w:fldCharType="separate"/>
            </w:r>
            <w:r>
              <w:rPr>
                <w:noProof/>
                <w:webHidden/>
              </w:rPr>
              <w:t>5</w:t>
            </w:r>
            <w:r>
              <w:rPr>
                <w:noProof/>
                <w:webHidden/>
              </w:rPr>
              <w:fldChar w:fldCharType="end"/>
            </w:r>
          </w:hyperlink>
        </w:p>
        <w:p w14:paraId="243C20CF" w14:textId="0D9C49BC" w:rsidR="00BC48D1" w:rsidRDefault="00BC48D1">
          <w:pPr>
            <w:pStyle w:val="TOC2"/>
            <w:rPr>
              <w:rFonts w:cstheme="minorBidi"/>
              <w:noProof/>
              <w:kern w:val="2"/>
              <w:sz w:val="24"/>
              <w:szCs w:val="24"/>
              <w:lang w:val="en-GB" w:eastAsia="en-GB"/>
              <w14:ligatures w14:val="standardContextual"/>
            </w:rPr>
          </w:pPr>
          <w:hyperlink w:anchor="_Toc231462474" w:history="1">
            <w:r w:rsidRPr="00915A97">
              <w:rPr>
                <w:rStyle w:val="Hyperlink"/>
                <w:noProof/>
              </w:rPr>
              <w:t>Defensible LEV Commissioning: A Governance Framework for Duty Holders</w:t>
            </w:r>
            <w:r>
              <w:rPr>
                <w:noProof/>
                <w:webHidden/>
              </w:rPr>
              <w:tab/>
            </w:r>
            <w:r>
              <w:rPr>
                <w:noProof/>
                <w:webHidden/>
              </w:rPr>
              <w:fldChar w:fldCharType="begin"/>
            </w:r>
            <w:r>
              <w:rPr>
                <w:noProof/>
                <w:webHidden/>
              </w:rPr>
              <w:instrText xml:space="preserve"> PAGEREF _Toc231462474 \h </w:instrText>
            </w:r>
            <w:r>
              <w:rPr>
                <w:noProof/>
                <w:webHidden/>
              </w:rPr>
            </w:r>
            <w:r>
              <w:rPr>
                <w:noProof/>
                <w:webHidden/>
              </w:rPr>
              <w:fldChar w:fldCharType="separate"/>
            </w:r>
            <w:r>
              <w:rPr>
                <w:noProof/>
                <w:webHidden/>
              </w:rPr>
              <w:t>5</w:t>
            </w:r>
            <w:r>
              <w:rPr>
                <w:noProof/>
                <w:webHidden/>
              </w:rPr>
              <w:fldChar w:fldCharType="end"/>
            </w:r>
          </w:hyperlink>
        </w:p>
        <w:p w14:paraId="31C36856" w14:textId="12D7702F" w:rsidR="00BC48D1" w:rsidRDefault="00BC48D1">
          <w:pPr>
            <w:pStyle w:val="TOC1"/>
            <w:tabs>
              <w:tab w:val="right" w:leader="dot" w:pos="9736"/>
            </w:tabs>
            <w:rPr>
              <w:rFonts w:cstheme="minorBidi"/>
              <w:noProof/>
              <w:kern w:val="2"/>
              <w:sz w:val="24"/>
              <w:szCs w:val="24"/>
              <w:lang w:val="en-GB" w:eastAsia="en-GB"/>
              <w14:ligatures w14:val="standardContextual"/>
            </w:rPr>
          </w:pPr>
          <w:hyperlink w:anchor="_Toc231462475" w:history="1">
            <w:r w:rsidRPr="00915A97">
              <w:rPr>
                <w:rStyle w:val="Hyperlink"/>
                <w:noProof/>
              </w:rPr>
              <w:t>Section 2: The Common Misunderstanding</w:t>
            </w:r>
            <w:r>
              <w:rPr>
                <w:noProof/>
                <w:webHidden/>
              </w:rPr>
              <w:tab/>
            </w:r>
            <w:r>
              <w:rPr>
                <w:noProof/>
                <w:webHidden/>
              </w:rPr>
              <w:fldChar w:fldCharType="begin"/>
            </w:r>
            <w:r>
              <w:rPr>
                <w:noProof/>
                <w:webHidden/>
              </w:rPr>
              <w:instrText xml:space="preserve"> PAGEREF _Toc231462475 \h </w:instrText>
            </w:r>
            <w:r>
              <w:rPr>
                <w:noProof/>
                <w:webHidden/>
              </w:rPr>
            </w:r>
            <w:r>
              <w:rPr>
                <w:noProof/>
                <w:webHidden/>
              </w:rPr>
              <w:fldChar w:fldCharType="separate"/>
            </w:r>
            <w:r>
              <w:rPr>
                <w:noProof/>
                <w:webHidden/>
              </w:rPr>
              <w:t>6</w:t>
            </w:r>
            <w:r>
              <w:rPr>
                <w:noProof/>
                <w:webHidden/>
              </w:rPr>
              <w:fldChar w:fldCharType="end"/>
            </w:r>
          </w:hyperlink>
        </w:p>
        <w:p w14:paraId="30867B7E" w14:textId="473C55B3" w:rsidR="00BC48D1" w:rsidRDefault="00BC48D1">
          <w:pPr>
            <w:pStyle w:val="TOC2"/>
            <w:rPr>
              <w:rFonts w:cstheme="minorBidi"/>
              <w:noProof/>
              <w:kern w:val="2"/>
              <w:sz w:val="24"/>
              <w:szCs w:val="24"/>
              <w:lang w:val="en-GB" w:eastAsia="en-GB"/>
              <w14:ligatures w14:val="standardContextual"/>
            </w:rPr>
          </w:pPr>
          <w:hyperlink w:anchor="_Toc231462476" w:history="1">
            <w:r w:rsidRPr="00915A97">
              <w:rPr>
                <w:rStyle w:val="Hyperlink"/>
                <w:noProof/>
              </w:rPr>
              <w:t>2.1 Commissioning Treated as Administrative Closure</w:t>
            </w:r>
            <w:r>
              <w:rPr>
                <w:noProof/>
                <w:webHidden/>
              </w:rPr>
              <w:tab/>
            </w:r>
            <w:r>
              <w:rPr>
                <w:noProof/>
                <w:webHidden/>
              </w:rPr>
              <w:fldChar w:fldCharType="begin"/>
            </w:r>
            <w:r>
              <w:rPr>
                <w:noProof/>
                <w:webHidden/>
              </w:rPr>
              <w:instrText xml:space="preserve"> PAGEREF _Toc231462476 \h </w:instrText>
            </w:r>
            <w:r>
              <w:rPr>
                <w:noProof/>
                <w:webHidden/>
              </w:rPr>
            </w:r>
            <w:r>
              <w:rPr>
                <w:noProof/>
                <w:webHidden/>
              </w:rPr>
              <w:fldChar w:fldCharType="separate"/>
            </w:r>
            <w:r>
              <w:rPr>
                <w:noProof/>
                <w:webHidden/>
              </w:rPr>
              <w:t>6</w:t>
            </w:r>
            <w:r>
              <w:rPr>
                <w:noProof/>
                <w:webHidden/>
              </w:rPr>
              <w:fldChar w:fldCharType="end"/>
            </w:r>
          </w:hyperlink>
        </w:p>
        <w:p w14:paraId="323C58DB" w14:textId="3E176827" w:rsidR="00BC48D1" w:rsidRDefault="00BC48D1">
          <w:pPr>
            <w:pStyle w:val="TOC2"/>
            <w:rPr>
              <w:rFonts w:cstheme="minorBidi"/>
              <w:noProof/>
              <w:kern w:val="2"/>
              <w:sz w:val="24"/>
              <w:szCs w:val="24"/>
              <w:lang w:val="en-GB" w:eastAsia="en-GB"/>
              <w14:ligatures w14:val="standardContextual"/>
            </w:rPr>
          </w:pPr>
          <w:hyperlink w:anchor="_Toc231462477" w:history="1">
            <w:r w:rsidRPr="00915A97">
              <w:rPr>
                <w:rStyle w:val="Hyperlink"/>
                <w:noProof/>
              </w:rPr>
              <w:t>2.2 Over-Reliance on Annual Testing</w:t>
            </w:r>
            <w:r>
              <w:rPr>
                <w:noProof/>
                <w:webHidden/>
              </w:rPr>
              <w:tab/>
            </w:r>
            <w:r>
              <w:rPr>
                <w:noProof/>
                <w:webHidden/>
              </w:rPr>
              <w:fldChar w:fldCharType="begin"/>
            </w:r>
            <w:r>
              <w:rPr>
                <w:noProof/>
                <w:webHidden/>
              </w:rPr>
              <w:instrText xml:space="preserve"> PAGEREF _Toc231462477 \h </w:instrText>
            </w:r>
            <w:r>
              <w:rPr>
                <w:noProof/>
                <w:webHidden/>
              </w:rPr>
            </w:r>
            <w:r>
              <w:rPr>
                <w:noProof/>
                <w:webHidden/>
              </w:rPr>
              <w:fldChar w:fldCharType="separate"/>
            </w:r>
            <w:r>
              <w:rPr>
                <w:noProof/>
                <w:webHidden/>
              </w:rPr>
              <w:t>7</w:t>
            </w:r>
            <w:r>
              <w:rPr>
                <w:noProof/>
                <w:webHidden/>
              </w:rPr>
              <w:fldChar w:fldCharType="end"/>
            </w:r>
          </w:hyperlink>
        </w:p>
        <w:p w14:paraId="5029995B" w14:textId="553909BF" w:rsidR="00BC48D1" w:rsidRDefault="00BC48D1">
          <w:pPr>
            <w:pStyle w:val="TOC2"/>
            <w:rPr>
              <w:rFonts w:cstheme="minorBidi"/>
              <w:noProof/>
              <w:kern w:val="2"/>
              <w:sz w:val="24"/>
              <w:szCs w:val="24"/>
              <w:lang w:val="en-GB" w:eastAsia="en-GB"/>
              <w14:ligatures w14:val="standardContextual"/>
            </w:rPr>
          </w:pPr>
          <w:hyperlink w:anchor="_Toc231462478" w:history="1">
            <w:r w:rsidRPr="00915A97">
              <w:rPr>
                <w:rStyle w:val="Hyperlink"/>
                <w:noProof/>
              </w:rPr>
              <w:t>2.3 Absence of Documented Design Intent</w:t>
            </w:r>
            <w:r>
              <w:rPr>
                <w:noProof/>
                <w:webHidden/>
              </w:rPr>
              <w:tab/>
            </w:r>
            <w:r>
              <w:rPr>
                <w:noProof/>
                <w:webHidden/>
              </w:rPr>
              <w:fldChar w:fldCharType="begin"/>
            </w:r>
            <w:r>
              <w:rPr>
                <w:noProof/>
                <w:webHidden/>
              </w:rPr>
              <w:instrText xml:space="preserve"> PAGEREF _Toc231462478 \h </w:instrText>
            </w:r>
            <w:r>
              <w:rPr>
                <w:noProof/>
                <w:webHidden/>
              </w:rPr>
            </w:r>
            <w:r>
              <w:rPr>
                <w:noProof/>
                <w:webHidden/>
              </w:rPr>
              <w:fldChar w:fldCharType="separate"/>
            </w:r>
            <w:r>
              <w:rPr>
                <w:noProof/>
                <w:webHidden/>
              </w:rPr>
              <w:t>7</w:t>
            </w:r>
            <w:r>
              <w:rPr>
                <w:noProof/>
                <w:webHidden/>
              </w:rPr>
              <w:fldChar w:fldCharType="end"/>
            </w:r>
          </w:hyperlink>
        </w:p>
        <w:p w14:paraId="66ED230E" w14:textId="5DC8C5E5" w:rsidR="00BC48D1" w:rsidRDefault="00BC48D1">
          <w:pPr>
            <w:pStyle w:val="TOC2"/>
            <w:rPr>
              <w:rFonts w:cstheme="minorBidi"/>
              <w:noProof/>
              <w:kern w:val="2"/>
              <w:sz w:val="24"/>
              <w:szCs w:val="24"/>
              <w:lang w:val="en-GB" w:eastAsia="en-GB"/>
              <w14:ligatures w14:val="standardContextual"/>
            </w:rPr>
          </w:pPr>
          <w:hyperlink w:anchor="_Toc231462479" w:history="1">
            <w:r w:rsidRPr="00915A97">
              <w:rPr>
                <w:rStyle w:val="Hyperlink"/>
                <w:noProof/>
              </w:rPr>
              <w:t>2.4 Qualification Misinterpreted as Competence</w:t>
            </w:r>
            <w:r>
              <w:rPr>
                <w:noProof/>
                <w:webHidden/>
              </w:rPr>
              <w:tab/>
            </w:r>
            <w:r>
              <w:rPr>
                <w:noProof/>
                <w:webHidden/>
              </w:rPr>
              <w:fldChar w:fldCharType="begin"/>
            </w:r>
            <w:r>
              <w:rPr>
                <w:noProof/>
                <w:webHidden/>
              </w:rPr>
              <w:instrText xml:space="preserve"> PAGEREF _Toc231462479 \h </w:instrText>
            </w:r>
            <w:r>
              <w:rPr>
                <w:noProof/>
                <w:webHidden/>
              </w:rPr>
            </w:r>
            <w:r>
              <w:rPr>
                <w:noProof/>
                <w:webHidden/>
              </w:rPr>
              <w:fldChar w:fldCharType="separate"/>
            </w:r>
            <w:r>
              <w:rPr>
                <w:noProof/>
                <w:webHidden/>
              </w:rPr>
              <w:t>7</w:t>
            </w:r>
            <w:r>
              <w:rPr>
                <w:noProof/>
                <w:webHidden/>
              </w:rPr>
              <w:fldChar w:fldCharType="end"/>
            </w:r>
          </w:hyperlink>
        </w:p>
        <w:p w14:paraId="3266B89D" w14:textId="563E2731" w:rsidR="00BC48D1" w:rsidRDefault="00BC48D1">
          <w:pPr>
            <w:pStyle w:val="TOC2"/>
            <w:rPr>
              <w:rFonts w:cstheme="minorBidi"/>
              <w:noProof/>
              <w:kern w:val="2"/>
              <w:sz w:val="24"/>
              <w:szCs w:val="24"/>
              <w:lang w:val="en-GB" w:eastAsia="en-GB"/>
              <w14:ligatures w14:val="standardContextual"/>
            </w:rPr>
          </w:pPr>
          <w:hyperlink w:anchor="_Toc231462480" w:history="1">
            <w:r w:rsidRPr="00915A97">
              <w:rPr>
                <w:rStyle w:val="Hyperlink"/>
                <w:noProof/>
              </w:rPr>
              <w:t>2.5 Commissioning Without Governance Context</w:t>
            </w:r>
            <w:r>
              <w:rPr>
                <w:noProof/>
                <w:webHidden/>
              </w:rPr>
              <w:tab/>
            </w:r>
            <w:r>
              <w:rPr>
                <w:noProof/>
                <w:webHidden/>
              </w:rPr>
              <w:fldChar w:fldCharType="begin"/>
            </w:r>
            <w:r>
              <w:rPr>
                <w:noProof/>
                <w:webHidden/>
              </w:rPr>
              <w:instrText xml:space="preserve"> PAGEREF _Toc231462480 \h </w:instrText>
            </w:r>
            <w:r>
              <w:rPr>
                <w:noProof/>
                <w:webHidden/>
              </w:rPr>
            </w:r>
            <w:r>
              <w:rPr>
                <w:noProof/>
                <w:webHidden/>
              </w:rPr>
              <w:fldChar w:fldCharType="separate"/>
            </w:r>
            <w:r>
              <w:rPr>
                <w:noProof/>
                <w:webHidden/>
              </w:rPr>
              <w:t>8</w:t>
            </w:r>
            <w:r>
              <w:rPr>
                <w:noProof/>
                <w:webHidden/>
              </w:rPr>
              <w:fldChar w:fldCharType="end"/>
            </w:r>
          </w:hyperlink>
        </w:p>
        <w:p w14:paraId="29C5216C" w14:textId="26E52863" w:rsidR="00BC48D1" w:rsidRDefault="00BC48D1">
          <w:pPr>
            <w:pStyle w:val="TOC2"/>
            <w:rPr>
              <w:rFonts w:cstheme="minorBidi"/>
              <w:noProof/>
              <w:kern w:val="2"/>
              <w:sz w:val="24"/>
              <w:szCs w:val="24"/>
              <w:lang w:val="en-GB" w:eastAsia="en-GB"/>
              <w14:ligatures w14:val="standardContextual"/>
            </w:rPr>
          </w:pPr>
          <w:hyperlink w:anchor="_Toc231462481" w:history="1">
            <w:r w:rsidRPr="00915A97">
              <w:rPr>
                <w:rStyle w:val="Hyperlink"/>
                <w:noProof/>
              </w:rPr>
              <w:t>2.6 The Resulting Risk</w:t>
            </w:r>
            <w:r>
              <w:rPr>
                <w:noProof/>
                <w:webHidden/>
              </w:rPr>
              <w:tab/>
            </w:r>
            <w:r>
              <w:rPr>
                <w:noProof/>
                <w:webHidden/>
              </w:rPr>
              <w:fldChar w:fldCharType="begin"/>
            </w:r>
            <w:r>
              <w:rPr>
                <w:noProof/>
                <w:webHidden/>
              </w:rPr>
              <w:instrText xml:space="preserve"> PAGEREF _Toc231462481 \h </w:instrText>
            </w:r>
            <w:r>
              <w:rPr>
                <w:noProof/>
                <w:webHidden/>
              </w:rPr>
            </w:r>
            <w:r>
              <w:rPr>
                <w:noProof/>
                <w:webHidden/>
              </w:rPr>
              <w:fldChar w:fldCharType="separate"/>
            </w:r>
            <w:r>
              <w:rPr>
                <w:noProof/>
                <w:webHidden/>
              </w:rPr>
              <w:t>8</w:t>
            </w:r>
            <w:r>
              <w:rPr>
                <w:noProof/>
                <w:webHidden/>
              </w:rPr>
              <w:fldChar w:fldCharType="end"/>
            </w:r>
          </w:hyperlink>
        </w:p>
        <w:p w14:paraId="0AA00388" w14:textId="1B282AE1" w:rsidR="00BC48D1" w:rsidRDefault="00BC48D1">
          <w:pPr>
            <w:pStyle w:val="TOC1"/>
            <w:tabs>
              <w:tab w:val="right" w:leader="dot" w:pos="9736"/>
            </w:tabs>
            <w:rPr>
              <w:rFonts w:cstheme="minorBidi"/>
              <w:noProof/>
              <w:kern w:val="2"/>
              <w:sz w:val="24"/>
              <w:szCs w:val="24"/>
              <w:lang w:val="en-GB" w:eastAsia="en-GB"/>
              <w14:ligatures w14:val="standardContextual"/>
            </w:rPr>
          </w:pPr>
          <w:hyperlink w:anchor="_Toc231462482" w:history="1">
            <w:r w:rsidRPr="00915A97">
              <w:rPr>
                <w:rStyle w:val="Hyperlink"/>
                <w:noProof/>
              </w:rPr>
              <w:t>Section 3: Commissioning vs Testing</w:t>
            </w:r>
            <w:r>
              <w:rPr>
                <w:noProof/>
                <w:webHidden/>
              </w:rPr>
              <w:tab/>
            </w:r>
            <w:r>
              <w:rPr>
                <w:noProof/>
                <w:webHidden/>
              </w:rPr>
              <w:fldChar w:fldCharType="begin"/>
            </w:r>
            <w:r>
              <w:rPr>
                <w:noProof/>
                <w:webHidden/>
              </w:rPr>
              <w:instrText xml:space="preserve"> PAGEREF _Toc231462482 \h </w:instrText>
            </w:r>
            <w:r>
              <w:rPr>
                <w:noProof/>
                <w:webHidden/>
              </w:rPr>
            </w:r>
            <w:r>
              <w:rPr>
                <w:noProof/>
                <w:webHidden/>
              </w:rPr>
              <w:fldChar w:fldCharType="separate"/>
            </w:r>
            <w:r>
              <w:rPr>
                <w:noProof/>
                <w:webHidden/>
              </w:rPr>
              <w:t>9</w:t>
            </w:r>
            <w:r>
              <w:rPr>
                <w:noProof/>
                <w:webHidden/>
              </w:rPr>
              <w:fldChar w:fldCharType="end"/>
            </w:r>
          </w:hyperlink>
        </w:p>
        <w:p w14:paraId="37B41CF9" w14:textId="31F6BF45" w:rsidR="00BC48D1" w:rsidRDefault="00BC48D1">
          <w:pPr>
            <w:pStyle w:val="TOC2"/>
            <w:rPr>
              <w:rFonts w:cstheme="minorBidi"/>
              <w:noProof/>
              <w:kern w:val="2"/>
              <w:sz w:val="24"/>
              <w:szCs w:val="24"/>
              <w:lang w:val="en-GB" w:eastAsia="en-GB"/>
              <w14:ligatures w14:val="standardContextual"/>
            </w:rPr>
          </w:pPr>
          <w:hyperlink w:anchor="_Toc231462483" w:history="1">
            <w:r w:rsidRPr="00915A97">
              <w:rPr>
                <w:rStyle w:val="Hyperlink"/>
                <w:noProof/>
              </w:rPr>
              <w:t>Capability, Condition and Evidential Integrity</w:t>
            </w:r>
            <w:r>
              <w:rPr>
                <w:noProof/>
                <w:webHidden/>
              </w:rPr>
              <w:tab/>
            </w:r>
            <w:r>
              <w:rPr>
                <w:noProof/>
                <w:webHidden/>
              </w:rPr>
              <w:fldChar w:fldCharType="begin"/>
            </w:r>
            <w:r>
              <w:rPr>
                <w:noProof/>
                <w:webHidden/>
              </w:rPr>
              <w:instrText xml:space="preserve"> PAGEREF _Toc231462483 \h </w:instrText>
            </w:r>
            <w:r>
              <w:rPr>
                <w:noProof/>
                <w:webHidden/>
              </w:rPr>
            </w:r>
            <w:r>
              <w:rPr>
                <w:noProof/>
                <w:webHidden/>
              </w:rPr>
              <w:fldChar w:fldCharType="separate"/>
            </w:r>
            <w:r>
              <w:rPr>
                <w:noProof/>
                <w:webHidden/>
              </w:rPr>
              <w:t>9</w:t>
            </w:r>
            <w:r>
              <w:rPr>
                <w:noProof/>
                <w:webHidden/>
              </w:rPr>
              <w:fldChar w:fldCharType="end"/>
            </w:r>
          </w:hyperlink>
        </w:p>
        <w:p w14:paraId="13C84883" w14:textId="4847964D" w:rsidR="00BC48D1" w:rsidRDefault="00BC48D1">
          <w:pPr>
            <w:pStyle w:val="TOC2"/>
            <w:rPr>
              <w:rFonts w:cstheme="minorBidi"/>
              <w:noProof/>
              <w:kern w:val="2"/>
              <w:sz w:val="24"/>
              <w:szCs w:val="24"/>
              <w:lang w:val="en-GB" w:eastAsia="en-GB"/>
              <w14:ligatures w14:val="standardContextual"/>
            </w:rPr>
          </w:pPr>
          <w:hyperlink w:anchor="_Toc231462484" w:history="1">
            <w:r w:rsidRPr="00915A97">
              <w:rPr>
                <w:rStyle w:val="Hyperlink"/>
                <w:noProof/>
              </w:rPr>
              <w:t>3.1 Purpose and Timing</w:t>
            </w:r>
            <w:r>
              <w:rPr>
                <w:noProof/>
                <w:webHidden/>
              </w:rPr>
              <w:tab/>
            </w:r>
            <w:r>
              <w:rPr>
                <w:noProof/>
                <w:webHidden/>
              </w:rPr>
              <w:fldChar w:fldCharType="begin"/>
            </w:r>
            <w:r>
              <w:rPr>
                <w:noProof/>
                <w:webHidden/>
              </w:rPr>
              <w:instrText xml:space="preserve"> PAGEREF _Toc231462484 \h </w:instrText>
            </w:r>
            <w:r>
              <w:rPr>
                <w:noProof/>
                <w:webHidden/>
              </w:rPr>
            </w:r>
            <w:r>
              <w:rPr>
                <w:noProof/>
                <w:webHidden/>
              </w:rPr>
              <w:fldChar w:fldCharType="separate"/>
            </w:r>
            <w:r>
              <w:rPr>
                <w:noProof/>
                <w:webHidden/>
              </w:rPr>
              <w:t>9</w:t>
            </w:r>
            <w:r>
              <w:rPr>
                <w:noProof/>
                <w:webHidden/>
              </w:rPr>
              <w:fldChar w:fldCharType="end"/>
            </w:r>
          </w:hyperlink>
        </w:p>
        <w:p w14:paraId="05928B15" w14:textId="15EBF764" w:rsidR="00BC48D1" w:rsidRDefault="00BC48D1">
          <w:pPr>
            <w:pStyle w:val="TOC2"/>
            <w:rPr>
              <w:rFonts w:cstheme="minorBidi"/>
              <w:noProof/>
              <w:kern w:val="2"/>
              <w:sz w:val="24"/>
              <w:szCs w:val="24"/>
              <w:lang w:val="en-GB" w:eastAsia="en-GB"/>
              <w14:ligatures w14:val="standardContextual"/>
            </w:rPr>
          </w:pPr>
          <w:hyperlink w:anchor="_Toc231462485" w:history="1">
            <w:r w:rsidRPr="00915A97">
              <w:rPr>
                <w:rStyle w:val="Hyperlink"/>
                <w:noProof/>
              </w:rPr>
              <w:t>3.2 Establishing Design Reference</w:t>
            </w:r>
            <w:r>
              <w:rPr>
                <w:noProof/>
                <w:webHidden/>
              </w:rPr>
              <w:tab/>
            </w:r>
            <w:r>
              <w:rPr>
                <w:noProof/>
                <w:webHidden/>
              </w:rPr>
              <w:fldChar w:fldCharType="begin"/>
            </w:r>
            <w:r>
              <w:rPr>
                <w:noProof/>
                <w:webHidden/>
              </w:rPr>
              <w:instrText xml:space="preserve"> PAGEREF _Toc231462485 \h </w:instrText>
            </w:r>
            <w:r>
              <w:rPr>
                <w:noProof/>
                <w:webHidden/>
              </w:rPr>
            </w:r>
            <w:r>
              <w:rPr>
                <w:noProof/>
                <w:webHidden/>
              </w:rPr>
              <w:fldChar w:fldCharType="separate"/>
            </w:r>
            <w:r>
              <w:rPr>
                <w:noProof/>
                <w:webHidden/>
              </w:rPr>
              <w:t>9</w:t>
            </w:r>
            <w:r>
              <w:rPr>
                <w:noProof/>
                <w:webHidden/>
              </w:rPr>
              <w:fldChar w:fldCharType="end"/>
            </w:r>
          </w:hyperlink>
        </w:p>
        <w:p w14:paraId="61EE4EA9" w14:textId="486C0920" w:rsidR="00BC48D1" w:rsidRDefault="00BC48D1">
          <w:pPr>
            <w:pStyle w:val="TOC2"/>
            <w:rPr>
              <w:rFonts w:cstheme="minorBidi"/>
              <w:noProof/>
              <w:kern w:val="2"/>
              <w:sz w:val="24"/>
              <w:szCs w:val="24"/>
              <w:lang w:val="en-GB" w:eastAsia="en-GB"/>
              <w14:ligatures w14:val="standardContextual"/>
            </w:rPr>
          </w:pPr>
          <w:hyperlink w:anchor="_Toc231462486" w:history="1">
            <w:r w:rsidRPr="00915A97">
              <w:rPr>
                <w:rStyle w:val="Hyperlink"/>
                <w:noProof/>
              </w:rPr>
              <w:t>3.3 Measurement Scope</w:t>
            </w:r>
            <w:r>
              <w:rPr>
                <w:noProof/>
                <w:webHidden/>
              </w:rPr>
              <w:tab/>
            </w:r>
            <w:r>
              <w:rPr>
                <w:noProof/>
                <w:webHidden/>
              </w:rPr>
              <w:fldChar w:fldCharType="begin"/>
            </w:r>
            <w:r>
              <w:rPr>
                <w:noProof/>
                <w:webHidden/>
              </w:rPr>
              <w:instrText xml:space="preserve"> PAGEREF _Toc231462486 \h </w:instrText>
            </w:r>
            <w:r>
              <w:rPr>
                <w:noProof/>
                <w:webHidden/>
              </w:rPr>
            </w:r>
            <w:r>
              <w:rPr>
                <w:noProof/>
                <w:webHidden/>
              </w:rPr>
              <w:fldChar w:fldCharType="separate"/>
            </w:r>
            <w:r>
              <w:rPr>
                <w:noProof/>
                <w:webHidden/>
              </w:rPr>
              <w:t>10</w:t>
            </w:r>
            <w:r>
              <w:rPr>
                <w:noProof/>
                <w:webHidden/>
              </w:rPr>
              <w:fldChar w:fldCharType="end"/>
            </w:r>
          </w:hyperlink>
        </w:p>
        <w:p w14:paraId="0E4CA5C7" w14:textId="63448282" w:rsidR="00BC48D1" w:rsidRDefault="00BC48D1">
          <w:pPr>
            <w:pStyle w:val="TOC2"/>
            <w:rPr>
              <w:rFonts w:cstheme="minorBidi"/>
              <w:noProof/>
              <w:kern w:val="2"/>
              <w:sz w:val="24"/>
              <w:szCs w:val="24"/>
              <w:lang w:val="en-GB" w:eastAsia="en-GB"/>
              <w14:ligatures w14:val="standardContextual"/>
            </w:rPr>
          </w:pPr>
          <w:hyperlink w:anchor="_Toc231462487" w:history="1">
            <w:r w:rsidRPr="00915A97">
              <w:rPr>
                <w:rStyle w:val="Hyperlink"/>
                <w:noProof/>
              </w:rPr>
              <w:t>3.4 Capability vs Condition</w:t>
            </w:r>
            <w:r>
              <w:rPr>
                <w:noProof/>
                <w:webHidden/>
              </w:rPr>
              <w:tab/>
            </w:r>
            <w:r>
              <w:rPr>
                <w:noProof/>
                <w:webHidden/>
              </w:rPr>
              <w:fldChar w:fldCharType="begin"/>
            </w:r>
            <w:r>
              <w:rPr>
                <w:noProof/>
                <w:webHidden/>
              </w:rPr>
              <w:instrText xml:space="preserve"> PAGEREF _Toc231462487 \h </w:instrText>
            </w:r>
            <w:r>
              <w:rPr>
                <w:noProof/>
                <w:webHidden/>
              </w:rPr>
            </w:r>
            <w:r>
              <w:rPr>
                <w:noProof/>
                <w:webHidden/>
              </w:rPr>
              <w:fldChar w:fldCharType="separate"/>
            </w:r>
            <w:r>
              <w:rPr>
                <w:noProof/>
                <w:webHidden/>
              </w:rPr>
              <w:t>11</w:t>
            </w:r>
            <w:r>
              <w:rPr>
                <w:noProof/>
                <w:webHidden/>
              </w:rPr>
              <w:fldChar w:fldCharType="end"/>
            </w:r>
          </w:hyperlink>
        </w:p>
        <w:p w14:paraId="2D808ADA" w14:textId="46ABBFC7" w:rsidR="00BC48D1" w:rsidRDefault="00BC48D1">
          <w:pPr>
            <w:pStyle w:val="TOC2"/>
            <w:rPr>
              <w:rFonts w:cstheme="minorBidi"/>
              <w:noProof/>
              <w:kern w:val="2"/>
              <w:sz w:val="24"/>
              <w:szCs w:val="24"/>
              <w:lang w:val="en-GB" w:eastAsia="en-GB"/>
              <w14:ligatures w14:val="standardContextual"/>
            </w:rPr>
          </w:pPr>
          <w:hyperlink w:anchor="_Toc231462488" w:history="1">
            <w:r w:rsidRPr="00915A97">
              <w:rPr>
                <w:rStyle w:val="Hyperlink"/>
                <w:noProof/>
              </w:rPr>
              <w:t>Practical Scenario (A) Welding</w:t>
            </w:r>
            <w:r>
              <w:rPr>
                <w:noProof/>
                <w:webHidden/>
              </w:rPr>
              <w:tab/>
            </w:r>
            <w:r>
              <w:rPr>
                <w:noProof/>
                <w:webHidden/>
              </w:rPr>
              <w:fldChar w:fldCharType="begin"/>
            </w:r>
            <w:r>
              <w:rPr>
                <w:noProof/>
                <w:webHidden/>
              </w:rPr>
              <w:instrText xml:space="preserve"> PAGEREF _Toc231462488 \h </w:instrText>
            </w:r>
            <w:r>
              <w:rPr>
                <w:noProof/>
                <w:webHidden/>
              </w:rPr>
            </w:r>
            <w:r>
              <w:rPr>
                <w:noProof/>
                <w:webHidden/>
              </w:rPr>
              <w:fldChar w:fldCharType="separate"/>
            </w:r>
            <w:r>
              <w:rPr>
                <w:noProof/>
                <w:webHidden/>
              </w:rPr>
              <w:t>11</w:t>
            </w:r>
            <w:r>
              <w:rPr>
                <w:noProof/>
                <w:webHidden/>
              </w:rPr>
              <w:fldChar w:fldCharType="end"/>
            </w:r>
          </w:hyperlink>
        </w:p>
        <w:p w14:paraId="375B9294" w14:textId="17DCA9B3" w:rsidR="00BC48D1" w:rsidRDefault="00BC48D1">
          <w:pPr>
            <w:pStyle w:val="TOC2"/>
            <w:rPr>
              <w:rFonts w:cstheme="minorBidi"/>
              <w:noProof/>
              <w:kern w:val="2"/>
              <w:sz w:val="24"/>
              <w:szCs w:val="24"/>
              <w:lang w:val="en-GB" w:eastAsia="en-GB"/>
              <w14:ligatures w14:val="standardContextual"/>
            </w:rPr>
          </w:pPr>
          <w:hyperlink w:anchor="_Toc231462489" w:history="1">
            <w:r w:rsidRPr="00915A97">
              <w:rPr>
                <w:rStyle w:val="Hyperlink"/>
                <w:noProof/>
              </w:rPr>
              <w:t>Practical Scenario (B) Woodworking</w:t>
            </w:r>
            <w:r>
              <w:rPr>
                <w:noProof/>
                <w:webHidden/>
              </w:rPr>
              <w:tab/>
            </w:r>
            <w:r>
              <w:rPr>
                <w:noProof/>
                <w:webHidden/>
              </w:rPr>
              <w:fldChar w:fldCharType="begin"/>
            </w:r>
            <w:r>
              <w:rPr>
                <w:noProof/>
                <w:webHidden/>
              </w:rPr>
              <w:instrText xml:space="preserve"> PAGEREF _Toc231462489 \h </w:instrText>
            </w:r>
            <w:r>
              <w:rPr>
                <w:noProof/>
                <w:webHidden/>
              </w:rPr>
            </w:r>
            <w:r>
              <w:rPr>
                <w:noProof/>
                <w:webHidden/>
              </w:rPr>
              <w:fldChar w:fldCharType="separate"/>
            </w:r>
            <w:r>
              <w:rPr>
                <w:noProof/>
                <w:webHidden/>
              </w:rPr>
              <w:t>12</w:t>
            </w:r>
            <w:r>
              <w:rPr>
                <w:noProof/>
                <w:webHidden/>
              </w:rPr>
              <w:fldChar w:fldCharType="end"/>
            </w:r>
          </w:hyperlink>
        </w:p>
        <w:p w14:paraId="4F13193F" w14:textId="155C6365" w:rsidR="00BC48D1" w:rsidRDefault="00BC48D1">
          <w:pPr>
            <w:pStyle w:val="TOC2"/>
            <w:rPr>
              <w:rFonts w:cstheme="minorBidi"/>
              <w:noProof/>
              <w:kern w:val="2"/>
              <w:sz w:val="24"/>
              <w:szCs w:val="24"/>
              <w:lang w:val="en-GB" w:eastAsia="en-GB"/>
              <w14:ligatures w14:val="standardContextual"/>
            </w:rPr>
          </w:pPr>
          <w:hyperlink w:anchor="_Toc231462490" w:history="1">
            <w:r w:rsidRPr="00915A97">
              <w:rPr>
                <w:rStyle w:val="Hyperlink"/>
                <w:noProof/>
              </w:rPr>
              <w:t>3.5 Benchmarking and Performance Baseline</w:t>
            </w:r>
            <w:r>
              <w:rPr>
                <w:noProof/>
                <w:webHidden/>
              </w:rPr>
              <w:tab/>
            </w:r>
            <w:r>
              <w:rPr>
                <w:noProof/>
                <w:webHidden/>
              </w:rPr>
              <w:fldChar w:fldCharType="begin"/>
            </w:r>
            <w:r>
              <w:rPr>
                <w:noProof/>
                <w:webHidden/>
              </w:rPr>
              <w:instrText xml:space="preserve"> PAGEREF _Toc231462490 \h </w:instrText>
            </w:r>
            <w:r>
              <w:rPr>
                <w:noProof/>
                <w:webHidden/>
              </w:rPr>
            </w:r>
            <w:r>
              <w:rPr>
                <w:noProof/>
                <w:webHidden/>
              </w:rPr>
              <w:fldChar w:fldCharType="separate"/>
            </w:r>
            <w:r>
              <w:rPr>
                <w:noProof/>
                <w:webHidden/>
              </w:rPr>
              <w:t>13</w:t>
            </w:r>
            <w:r>
              <w:rPr>
                <w:noProof/>
                <w:webHidden/>
              </w:rPr>
              <w:fldChar w:fldCharType="end"/>
            </w:r>
          </w:hyperlink>
        </w:p>
        <w:p w14:paraId="2ABC6BCA" w14:textId="713252A6" w:rsidR="00BC48D1" w:rsidRDefault="00BC48D1">
          <w:pPr>
            <w:pStyle w:val="TOC2"/>
            <w:rPr>
              <w:rFonts w:cstheme="minorBidi"/>
              <w:noProof/>
              <w:kern w:val="2"/>
              <w:sz w:val="24"/>
              <w:szCs w:val="24"/>
              <w:lang w:val="en-GB" w:eastAsia="en-GB"/>
              <w14:ligatures w14:val="standardContextual"/>
            </w:rPr>
          </w:pPr>
          <w:hyperlink w:anchor="_Toc231462491" w:history="1">
            <w:r w:rsidRPr="00915A97">
              <w:rPr>
                <w:rStyle w:val="Hyperlink"/>
                <w:noProof/>
              </w:rPr>
              <w:t>3.6  Re-Commissioning Triggers</w:t>
            </w:r>
            <w:r>
              <w:rPr>
                <w:noProof/>
                <w:webHidden/>
              </w:rPr>
              <w:tab/>
            </w:r>
            <w:r>
              <w:rPr>
                <w:noProof/>
                <w:webHidden/>
              </w:rPr>
              <w:fldChar w:fldCharType="begin"/>
            </w:r>
            <w:r>
              <w:rPr>
                <w:noProof/>
                <w:webHidden/>
              </w:rPr>
              <w:instrText xml:space="preserve"> PAGEREF _Toc231462491 \h </w:instrText>
            </w:r>
            <w:r>
              <w:rPr>
                <w:noProof/>
                <w:webHidden/>
              </w:rPr>
            </w:r>
            <w:r>
              <w:rPr>
                <w:noProof/>
                <w:webHidden/>
              </w:rPr>
              <w:fldChar w:fldCharType="separate"/>
            </w:r>
            <w:r>
              <w:rPr>
                <w:noProof/>
                <w:webHidden/>
              </w:rPr>
              <w:t>13</w:t>
            </w:r>
            <w:r>
              <w:rPr>
                <w:noProof/>
                <w:webHidden/>
              </w:rPr>
              <w:fldChar w:fldCharType="end"/>
            </w:r>
          </w:hyperlink>
        </w:p>
        <w:p w14:paraId="197FFF6C" w14:textId="48B9B6CE" w:rsidR="00BC48D1" w:rsidRDefault="00BC48D1">
          <w:pPr>
            <w:pStyle w:val="TOC2"/>
            <w:rPr>
              <w:rFonts w:cstheme="minorBidi"/>
              <w:noProof/>
              <w:kern w:val="2"/>
              <w:sz w:val="24"/>
              <w:szCs w:val="24"/>
              <w:lang w:val="en-GB" w:eastAsia="en-GB"/>
              <w14:ligatures w14:val="standardContextual"/>
            </w:rPr>
          </w:pPr>
          <w:hyperlink w:anchor="_Toc231462492" w:history="1">
            <w:r w:rsidRPr="00915A97">
              <w:rPr>
                <w:rStyle w:val="Hyperlink"/>
                <w:noProof/>
              </w:rPr>
              <w:t>3.7 Governance Implications</w:t>
            </w:r>
            <w:r>
              <w:rPr>
                <w:noProof/>
                <w:webHidden/>
              </w:rPr>
              <w:tab/>
            </w:r>
            <w:r>
              <w:rPr>
                <w:noProof/>
                <w:webHidden/>
              </w:rPr>
              <w:fldChar w:fldCharType="begin"/>
            </w:r>
            <w:r>
              <w:rPr>
                <w:noProof/>
                <w:webHidden/>
              </w:rPr>
              <w:instrText xml:space="preserve"> PAGEREF _Toc231462492 \h </w:instrText>
            </w:r>
            <w:r>
              <w:rPr>
                <w:noProof/>
                <w:webHidden/>
              </w:rPr>
            </w:r>
            <w:r>
              <w:rPr>
                <w:noProof/>
                <w:webHidden/>
              </w:rPr>
              <w:fldChar w:fldCharType="separate"/>
            </w:r>
            <w:r>
              <w:rPr>
                <w:noProof/>
                <w:webHidden/>
              </w:rPr>
              <w:t>14</w:t>
            </w:r>
            <w:r>
              <w:rPr>
                <w:noProof/>
                <w:webHidden/>
              </w:rPr>
              <w:fldChar w:fldCharType="end"/>
            </w:r>
          </w:hyperlink>
        </w:p>
        <w:p w14:paraId="5E76A04F" w14:textId="77FF0B93" w:rsidR="00BC48D1" w:rsidRDefault="00BC48D1">
          <w:pPr>
            <w:pStyle w:val="TOC1"/>
            <w:tabs>
              <w:tab w:val="right" w:leader="dot" w:pos="9736"/>
            </w:tabs>
            <w:rPr>
              <w:rFonts w:cstheme="minorBidi"/>
              <w:noProof/>
              <w:kern w:val="2"/>
              <w:sz w:val="24"/>
              <w:szCs w:val="24"/>
              <w:lang w:val="en-GB" w:eastAsia="en-GB"/>
              <w14:ligatures w14:val="standardContextual"/>
            </w:rPr>
          </w:pPr>
          <w:hyperlink w:anchor="_Toc231462493" w:history="1">
            <w:r w:rsidRPr="00915A97">
              <w:rPr>
                <w:rStyle w:val="Hyperlink"/>
                <w:noProof/>
              </w:rPr>
              <w:t>Section 4: OXYL8 Defensible Commissioning Framework™</w:t>
            </w:r>
            <w:r>
              <w:rPr>
                <w:noProof/>
                <w:webHidden/>
              </w:rPr>
              <w:tab/>
            </w:r>
            <w:r>
              <w:rPr>
                <w:noProof/>
                <w:webHidden/>
              </w:rPr>
              <w:fldChar w:fldCharType="begin"/>
            </w:r>
            <w:r>
              <w:rPr>
                <w:noProof/>
                <w:webHidden/>
              </w:rPr>
              <w:instrText xml:space="preserve"> PAGEREF _Toc231462493 \h </w:instrText>
            </w:r>
            <w:r>
              <w:rPr>
                <w:noProof/>
                <w:webHidden/>
              </w:rPr>
            </w:r>
            <w:r>
              <w:rPr>
                <w:noProof/>
                <w:webHidden/>
              </w:rPr>
              <w:fldChar w:fldCharType="separate"/>
            </w:r>
            <w:r>
              <w:rPr>
                <w:noProof/>
                <w:webHidden/>
              </w:rPr>
              <w:t>14</w:t>
            </w:r>
            <w:r>
              <w:rPr>
                <w:noProof/>
                <w:webHidden/>
              </w:rPr>
              <w:fldChar w:fldCharType="end"/>
            </w:r>
          </w:hyperlink>
        </w:p>
        <w:p w14:paraId="07F0DAE2" w14:textId="60CA9F8A" w:rsidR="00BC48D1" w:rsidRDefault="00BC48D1">
          <w:pPr>
            <w:pStyle w:val="TOC2"/>
            <w:rPr>
              <w:rFonts w:cstheme="minorBidi"/>
              <w:noProof/>
              <w:kern w:val="2"/>
              <w:sz w:val="24"/>
              <w:szCs w:val="24"/>
              <w:lang w:val="en-GB" w:eastAsia="en-GB"/>
              <w14:ligatures w14:val="standardContextual"/>
            </w:rPr>
          </w:pPr>
          <w:hyperlink w:anchor="_Toc231462494" w:history="1">
            <w:r w:rsidRPr="00915A97">
              <w:rPr>
                <w:rStyle w:val="Hyperlink"/>
                <w:noProof/>
              </w:rPr>
              <w:t>Stage 1: Design Intent Definition</w:t>
            </w:r>
            <w:r>
              <w:rPr>
                <w:noProof/>
                <w:webHidden/>
              </w:rPr>
              <w:tab/>
            </w:r>
            <w:r>
              <w:rPr>
                <w:noProof/>
                <w:webHidden/>
              </w:rPr>
              <w:fldChar w:fldCharType="begin"/>
            </w:r>
            <w:r>
              <w:rPr>
                <w:noProof/>
                <w:webHidden/>
              </w:rPr>
              <w:instrText xml:space="preserve"> PAGEREF _Toc231462494 \h </w:instrText>
            </w:r>
            <w:r>
              <w:rPr>
                <w:noProof/>
                <w:webHidden/>
              </w:rPr>
            </w:r>
            <w:r>
              <w:rPr>
                <w:noProof/>
                <w:webHidden/>
              </w:rPr>
              <w:fldChar w:fldCharType="separate"/>
            </w:r>
            <w:r>
              <w:rPr>
                <w:noProof/>
                <w:webHidden/>
              </w:rPr>
              <w:t>14</w:t>
            </w:r>
            <w:r>
              <w:rPr>
                <w:noProof/>
                <w:webHidden/>
              </w:rPr>
              <w:fldChar w:fldCharType="end"/>
            </w:r>
          </w:hyperlink>
        </w:p>
        <w:p w14:paraId="3E09BDF5" w14:textId="2B61FBE9" w:rsidR="00BC48D1" w:rsidRDefault="00BC48D1">
          <w:pPr>
            <w:pStyle w:val="TOC2"/>
            <w:rPr>
              <w:rFonts w:cstheme="minorBidi"/>
              <w:noProof/>
              <w:kern w:val="2"/>
              <w:sz w:val="24"/>
              <w:szCs w:val="24"/>
              <w:lang w:val="en-GB" w:eastAsia="en-GB"/>
              <w14:ligatures w14:val="standardContextual"/>
            </w:rPr>
          </w:pPr>
          <w:hyperlink w:anchor="_Toc231462495" w:history="1">
            <w:r w:rsidRPr="00915A97">
              <w:rPr>
                <w:rStyle w:val="Hyperlink"/>
                <w:noProof/>
              </w:rPr>
              <w:t>Stage 2: Technical Verification of Installation</w:t>
            </w:r>
            <w:r>
              <w:rPr>
                <w:noProof/>
                <w:webHidden/>
              </w:rPr>
              <w:tab/>
            </w:r>
            <w:r>
              <w:rPr>
                <w:noProof/>
                <w:webHidden/>
              </w:rPr>
              <w:fldChar w:fldCharType="begin"/>
            </w:r>
            <w:r>
              <w:rPr>
                <w:noProof/>
                <w:webHidden/>
              </w:rPr>
              <w:instrText xml:space="preserve"> PAGEREF _Toc231462495 \h </w:instrText>
            </w:r>
            <w:r>
              <w:rPr>
                <w:noProof/>
                <w:webHidden/>
              </w:rPr>
            </w:r>
            <w:r>
              <w:rPr>
                <w:noProof/>
                <w:webHidden/>
              </w:rPr>
              <w:fldChar w:fldCharType="separate"/>
            </w:r>
            <w:r>
              <w:rPr>
                <w:noProof/>
                <w:webHidden/>
              </w:rPr>
              <w:t>15</w:t>
            </w:r>
            <w:r>
              <w:rPr>
                <w:noProof/>
                <w:webHidden/>
              </w:rPr>
              <w:fldChar w:fldCharType="end"/>
            </w:r>
          </w:hyperlink>
        </w:p>
        <w:p w14:paraId="16C94024" w14:textId="3B64A986" w:rsidR="00BC48D1" w:rsidRDefault="00BC48D1">
          <w:pPr>
            <w:pStyle w:val="TOC2"/>
            <w:rPr>
              <w:rFonts w:cstheme="minorBidi"/>
              <w:noProof/>
              <w:kern w:val="2"/>
              <w:sz w:val="24"/>
              <w:szCs w:val="24"/>
              <w:lang w:val="en-GB" w:eastAsia="en-GB"/>
              <w14:ligatures w14:val="standardContextual"/>
            </w:rPr>
          </w:pPr>
          <w:hyperlink w:anchor="_Toc231462496" w:history="1">
            <w:r w:rsidRPr="00915A97">
              <w:rPr>
                <w:rStyle w:val="Hyperlink"/>
                <w:noProof/>
              </w:rPr>
              <w:t>Stage 3: Performance Benchmarking</w:t>
            </w:r>
            <w:r>
              <w:rPr>
                <w:noProof/>
                <w:webHidden/>
              </w:rPr>
              <w:tab/>
            </w:r>
            <w:r>
              <w:rPr>
                <w:noProof/>
                <w:webHidden/>
              </w:rPr>
              <w:fldChar w:fldCharType="begin"/>
            </w:r>
            <w:r>
              <w:rPr>
                <w:noProof/>
                <w:webHidden/>
              </w:rPr>
              <w:instrText xml:space="preserve"> PAGEREF _Toc231462496 \h </w:instrText>
            </w:r>
            <w:r>
              <w:rPr>
                <w:noProof/>
                <w:webHidden/>
              </w:rPr>
            </w:r>
            <w:r>
              <w:rPr>
                <w:noProof/>
                <w:webHidden/>
              </w:rPr>
              <w:fldChar w:fldCharType="separate"/>
            </w:r>
            <w:r>
              <w:rPr>
                <w:noProof/>
                <w:webHidden/>
              </w:rPr>
              <w:t>15</w:t>
            </w:r>
            <w:r>
              <w:rPr>
                <w:noProof/>
                <w:webHidden/>
              </w:rPr>
              <w:fldChar w:fldCharType="end"/>
            </w:r>
          </w:hyperlink>
        </w:p>
        <w:p w14:paraId="41AE5A47" w14:textId="63B4816D" w:rsidR="00BC48D1" w:rsidRDefault="00BC48D1">
          <w:pPr>
            <w:pStyle w:val="TOC2"/>
            <w:rPr>
              <w:rFonts w:cstheme="minorBidi"/>
              <w:noProof/>
              <w:kern w:val="2"/>
              <w:sz w:val="24"/>
              <w:szCs w:val="24"/>
              <w:lang w:val="en-GB" w:eastAsia="en-GB"/>
              <w14:ligatures w14:val="standardContextual"/>
            </w:rPr>
          </w:pPr>
          <w:hyperlink w:anchor="_Toc231462497" w:history="1">
            <w:r w:rsidRPr="00915A97">
              <w:rPr>
                <w:rStyle w:val="Hyperlink"/>
                <w:noProof/>
              </w:rPr>
              <w:t>Stage 4: Structured Documentation and Evidence</w:t>
            </w:r>
            <w:r>
              <w:rPr>
                <w:noProof/>
                <w:webHidden/>
              </w:rPr>
              <w:tab/>
            </w:r>
            <w:r>
              <w:rPr>
                <w:noProof/>
                <w:webHidden/>
              </w:rPr>
              <w:fldChar w:fldCharType="begin"/>
            </w:r>
            <w:r>
              <w:rPr>
                <w:noProof/>
                <w:webHidden/>
              </w:rPr>
              <w:instrText xml:space="preserve"> PAGEREF _Toc231462497 \h </w:instrText>
            </w:r>
            <w:r>
              <w:rPr>
                <w:noProof/>
                <w:webHidden/>
              </w:rPr>
            </w:r>
            <w:r>
              <w:rPr>
                <w:noProof/>
                <w:webHidden/>
              </w:rPr>
              <w:fldChar w:fldCharType="separate"/>
            </w:r>
            <w:r>
              <w:rPr>
                <w:noProof/>
                <w:webHidden/>
              </w:rPr>
              <w:t>16</w:t>
            </w:r>
            <w:r>
              <w:rPr>
                <w:noProof/>
                <w:webHidden/>
              </w:rPr>
              <w:fldChar w:fldCharType="end"/>
            </w:r>
          </w:hyperlink>
        </w:p>
        <w:p w14:paraId="58CA2E48" w14:textId="16C73DEB" w:rsidR="00BC48D1" w:rsidRDefault="00BC48D1">
          <w:pPr>
            <w:pStyle w:val="TOC2"/>
            <w:rPr>
              <w:rFonts w:cstheme="minorBidi"/>
              <w:noProof/>
              <w:kern w:val="2"/>
              <w:sz w:val="24"/>
              <w:szCs w:val="24"/>
              <w:lang w:val="en-GB" w:eastAsia="en-GB"/>
              <w14:ligatures w14:val="standardContextual"/>
            </w:rPr>
          </w:pPr>
          <w:hyperlink w:anchor="_Toc231462498" w:history="1">
            <w:r w:rsidRPr="00915A97">
              <w:rPr>
                <w:rStyle w:val="Hyperlink"/>
                <w:noProof/>
              </w:rPr>
              <w:t>Stage 5: Ongoing Assurance and Change Management</w:t>
            </w:r>
            <w:r>
              <w:rPr>
                <w:noProof/>
                <w:webHidden/>
              </w:rPr>
              <w:tab/>
            </w:r>
            <w:r>
              <w:rPr>
                <w:noProof/>
                <w:webHidden/>
              </w:rPr>
              <w:fldChar w:fldCharType="begin"/>
            </w:r>
            <w:r>
              <w:rPr>
                <w:noProof/>
                <w:webHidden/>
              </w:rPr>
              <w:instrText xml:space="preserve"> PAGEREF _Toc231462498 \h </w:instrText>
            </w:r>
            <w:r>
              <w:rPr>
                <w:noProof/>
                <w:webHidden/>
              </w:rPr>
            </w:r>
            <w:r>
              <w:rPr>
                <w:noProof/>
                <w:webHidden/>
              </w:rPr>
              <w:fldChar w:fldCharType="separate"/>
            </w:r>
            <w:r>
              <w:rPr>
                <w:noProof/>
                <w:webHidden/>
              </w:rPr>
              <w:t>16</w:t>
            </w:r>
            <w:r>
              <w:rPr>
                <w:noProof/>
                <w:webHidden/>
              </w:rPr>
              <w:fldChar w:fldCharType="end"/>
            </w:r>
          </w:hyperlink>
        </w:p>
        <w:p w14:paraId="5F5E6DDA" w14:textId="19BA301D" w:rsidR="00BC48D1" w:rsidRDefault="00BC48D1">
          <w:pPr>
            <w:pStyle w:val="TOC2"/>
            <w:rPr>
              <w:rFonts w:cstheme="minorBidi"/>
              <w:noProof/>
              <w:kern w:val="2"/>
              <w:sz w:val="24"/>
              <w:szCs w:val="24"/>
              <w:lang w:val="en-GB" w:eastAsia="en-GB"/>
              <w14:ligatures w14:val="standardContextual"/>
            </w:rPr>
          </w:pPr>
          <w:hyperlink w:anchor="_Toc231462499" w:history="1">
            <w:r w:rsidRPr="00915A97">
              <w:rPr>
                <w:rStyle w:val="Hyperlink"/>
                <w:noProof/>
              </w:rPr>
              <w:t>Framework Summary</w:t>
            </w:r>
            <w:r>
              <w:rPr>
                <w:noProof/>
                <w:webHidden/>
              </w:rPr>
              <w:tab/>
            </w:r>
            <w:r>
              <w:rPr>
                <w:noProof/>
                <w:webHidden/>
              </w:rPr>
              <w:fldChar w:fldCharType="begin"/>
            </w:r>
            <w:r>
              <w:rPr>
                <w:noProof/>
                <w:webHidden/>
              </w:rPr>
              <w:instrText xml:space="preserve"> PAGEREF _Toc231462499 \h </w:instrText>
            </w:r>
            <w:r>
              <w:rPr>
                <w:noProof/>
                <w:webHidden/>
              </w:rPr>
            </w:r>
            <w:r>
              <w:rPr>
                <w:noProof/>
                <w:webHidden/>
              </w:rPr>
              <w:fldChar w:fldCharType="separate"/>
            </w:r>
            <w:r>
              <w:rPr>
                <w:noProof/>
                <w:webHidden/>
              </w:rPr>
              <w:t>16</w:t>
            </w:r>
            <w:r>
              <w:rPr>
                <w:noProof/>
                <w:webHidden/>
              </w:rPr>
              <w:fldChar w:fldCharType="end"/>
            </w:r>
          </w:hyperlink>
        </w:p>
        <w:p w14:paraId="44A91B0A" w14:textId="7249FDE1" w:rsidR="00BC48D1" w:rsidRDefault="00BC48D1">
          <w:pPr>
            <w:pStyle w:val="TOC1"/>
            <w:tabs>
              <w:tab w:val="right" w:leader="dot" w:pos="9736"/>
            </w:tabs>
            <w:rPr>
              <w:rFonts w:cstheme="minorBidi"/>
              <w:noProof/>
              <w:kern w:val="2"/>
              <w:sz w:val="24"/>
              <w:szCs w:val="24"/>
              <w:lang w:val="en-GB" w:eastAsia="en-GB"/>
              <w14:ligatures w14:val="standardContextual"/>
            </w:rPr>
          </w:pPr>
          <w:hyperlink w:anchor="_Toc231462500" w:history="1">
            <w:r w:rsidRPr="00915A97">
              <w:rPr>
                <w:rStyle w:val="Hyperlink"/>
                <w:noProof/>
              </w:rPr>
              <w:t>Section 5: Governance Implications</w:t>
            </w:r>
            <w:r>
              <w:rPr>
                <w:noProof/>
                <w:webHidden/>
              </w:rPr>
              <w:tab/>
            </w:r>
            <w:r>
              <w:rPr>
                <w:noProof/>
                <w:webHidden/>
              </w:rPr>
              <w:fldChar w:fldCharType="begin"/>
            </w:r>
            <w:r>
              <w:rPr>
                <w:noProof/>
                <w:webHidden/>
              </w:rPr>
              <w:instrText xml:space="preserve"> PAGEREF _Toc231462500 \h </w:instrText>
            </w:r>
            <w:r>
              <w:rPr>
                <w:noProof/>
                <w:webHidden/>
              </w:rPr>
            </w:r>
            <w:r>
              <w:rPr>
                <w:noProof/>
                <w:webHidden/>
              </w:rPr>
              <w:fldChar w:fldCharType="separate"/>
            </w:r>
            <w:r>
              <w:rPr>
                <w:noProof/>
                <w:webHidden/>
              </w:rPr>
              <w:t>17</w:t>
            </w:r>
            <w:r>
              <w:rPr>
                <w:noProof/>
                <w:webHidden/>
              </w:rPr>
              <w:fldChar w:fldCharType="end"/>
            </w:r>
          </w:hyperlink>
        </w:p>
        <w:p w14:paraId="267F161E" w14:textId="0534BD57" w:rsidR="00BC48D1" w:rsidRDefault="00BC48D1">
          <w:pPr>
            <w:pStyle w:val="TOC2"/>
            <w:rPr>
              <w:rFonts w:cstheme="minorBidi"/>
              <w:noProof/>
              <w:kern w:val="2"/>
              <w:sz w:val="24"/>
              <w:szCs w:val="24"/>
              <w:lang w:val="en-GB" w:eastAsia="en-GB"/>
              <w14:ligatures w14:val="standardContextual"/>
            </w:rPr>
          </w:pPr>
          <w:hyperlink w:anchor="_Toc231462501" w:history="1">
            <w:r w:rsidRPr="00915A97">
              <w:rPr>
                <w:rStyle w:val="Hyperlink"/>
                <w:noProof/>
              </w:rPr>
              <w:t>Commissioning as a Board-Level Assurance Function</w:t>
            </w:r>
            <w:r>
              <w:rPr>
                <w:noProof/>
                <w:webHidden/>
              </w:rPr>
              <w:tab/>
            </w:r>
            <w:r>
              <w:rPr>
                <w:noProof/>
                <w:webHidden/>
              </w:rPr>
              <w:fldChar w:fldCharType="begin"/>
            </w:r>
            <w:r>
              <w:rPr>
                <w:noProof/>
                <w:webHidden/>
              </w:rPr>
              <w:instrText xml:space="preserve"> PAGEREF _Toc231462501 \h </w:instrText>
            </w:r>
            <w:r>
              <w:rPr>
                <w:noProof/>
                <w:webHidden/>
              </w:rPr>
            </w:r>
            <w:r>
              <w:rPr>
                <w:noProof/>
                <w:webHidden/>
              </w:rPr>
              <w:fldChar w:fldCharType="separate"/>
            </w:r>
            <w:r>
              <w:rPr>
                <w:noProof/>
                <w:webHidden/>
              </w:rPr>
              <w:t>17</w:t>
            </w:r>
            <w:r>
              <w:rPr>
                <w:noProof/>
                <w:webHidden/>
              </w:rPr>
              <w:fldChar w:fldCharType="end"/>
            </w:r>
          </w:hyperlink>
        </w:p>
        <w:p w14:paraId="74803B50" w14:textId="50C78A03" w:rsidR="00BC48D1" w:rsidRDefault="00BC48D1">
          <w:pPr>
            <w:pStyle w:val="TOC2"/>
            <w:rPr>
              <w:rFonts w:cstheme="minorBidi"/>
              <w:noProof/>
              <w:kern w:val="2"/>
              <w:sz w:val="24"/>
              <w:szCs w:val="24"/>
              <w:lang w:val="en-GB" w:eastAsia="en-GB"/>
              <w14:ligatures w14:val="standardContextual"/>
            </w:rPr>
          </w:pPr>
          <w:hyperlink w:anchor="_Toc231462502" w:history="1">
            <w:r w:rsidRPr="00915A97">
              <w:rPr>
                <w:rStyle w:val="Hyperlink"/>
                <w:noProof/>
              </w:rPr>
              <w:t>5.1 Commissioning as Evidence of Control</w:t>
            </w:r>
            <w:r>
              <w:rPr>
                <w:noProof/>
                <w:webHidden/>
              </w:rPr>
              <w:tab/>
            </w:r>
            <w:r>
              <w:rPr>
                <w:noProof/>
                <w:webHidden/>
              </w:rPr>
              <w:fldChar w:fldCharType="begin"/>
            </w:r>
            <w:r>
              <w:rPr>
                <w:noProof/>
                <w:webHidden/>
              </w:rPr>
              <w:instrText xml:space="preserve"> PAGEREF _Toc231462502 \h </w:instrText>
            </w:r>
            <w:r>
              <w:rPr>
                <w:noProof/>
                <w:webHidden/>
              </w:rPr>
            </w:r>
            <w:r>
              <w:rPr>
                <w:noProof/>
                <w:webHidden/>
              </w:rPr>
              <w:fldChar w:fldCharType="separate"/>
            </w:r>
            <w:r>
              <w:rPr>
                <w:noProof/>
                <w:webHidden/>
              </w:rPr>
              <w:t>17</w:t>
            </w:r>
            <w:r>
              <w:rPr>
                <w:noProof/>
                <w:webHidden/>
              </w:rPr>
              <w:fldChar w:fldCharType="end"/>
            </w:r>
          </w:hyperlink>
        </w:p>
        <w:p w14:paraId="767051AA" w14:textId="1DB4BCCC" w:rsidR="00BC48D1" w:rsidRDefault="00BC48D1">
          <w:pPr>
            <w:pStyle w:val="TOC2"/>
            <w:rPr>
              <w:rFonts w:cstheme="minorBidi"/>
              <w:noProof/>
              <w:kern w:val="2"/>
              <w:sz w:val="24"/>
              <w:szCs w:val="24"/>
              <w:lang w:val="en-GB" w:eastAsia="en-GB"/>
              <w14:ligatures w14:val="standardContextual"/>
            </w:rPr>
          </w:pPr>
          <w:hyperlink w:anchor="_Toc231462503" w:history="1">
            <w:r w:rsidRPr="00915A97">
              <w:rPr>
                <w:rStyle w:val="Hyperlink"/>
                <w:noProof/>
              </w:rPr>
              <w:t>5.2 Duty Holder Accountability and Role Separation</w:t>
            </w:r>
            <w:r>
              <w:rPr>
                <w:noProof/>
                <w:webHidden/>
              </w:rPr>
              <w:tab/>
            </w:r>
            <w:r>
              <w:rPr>
                <w:noProof/>
                <w:webHidden/>
              </w:rPr>
              <w:fldChar w:fldCharType="begin"/>
            </w:r>
            <w:r>
              <w:rPr>
                <w:noProof/>
                <w:webHidden/>
              </w:rPr>
              <w:instrText xml:space="preserve"> PAGEREF _Toc231462503 \h </w:instrText>
            </w:r>
            <w:r>
              <w:rPr>
                <w:noProof/>
                <w:webHidden/>
              </w:rPr>
            </w:r>
            <w:r>
              <w:rPr>
                <w:noProof/>
                <w:webHidden/>
              </w:rPr>
              <w:fldChar w:fldCharType="separate"/>
            </w:r>
            <w:r>
              <w:rPr>
                <w:noProof/>
                <w:webHidden/>
              </w:rPr>
              <w:t>18</w:t>
            </w:r>
            <w:r>
              <w:rPr>
                <w:noProof/>
                <w:webHidden/>
              </w:rPr>
              <w:fldChar w:fldCharType="end"/>
            </w:r>
          </w:hyperlink>
        </w:p>
        <w:p w14:paraId="4DF9CC49" w14:textId="6D5107B4" w:rsidR="00BC48D1" w:rsidRDefault="00BC48D1">
          <w:pPr>
            <w:pStyle w:val="TOC2"/>
            <w:rPr>
              <w:rFonts w:cstheme="minorBidi"/>
              <w:noProof/>
              <w:kern w:val="2"/>
              <w:sz w:val="24"/>
              <w:szCs w:val="24"/>
              <w:lang w:val="en-GB" w:eastAsia="en-GB"/>
              <w14:ligatures w14:val="standardContextual"/>
            </w:rPr>
          </w:pPr>
          <w:hyperlink w:anchor="_Toc231462504" w:history="1">
            <w:r w:rsidRPr="00915A97">
              <w:rPr>
                <w:rStyle w:val="Hyperlink"/>
                <w:noProof/>
              </w:rPr>
              <w:t>5.3 Independence and Conflict Considerations</w:t>
            </w:r>
            <w:r>
              <w:rPr>
                <w:noProof/>
                <w:webHidden/>
              </w:rPr>
              <w:tab/>
            </w:r>
            <w:r>
              <w:rPr>
                <w:noProof/>
                <w:webHidden/>
              </w:rPr>
              <w:fldChar w:fldCharType="begin"/>
            </w:r>
            <w:r>
              <w:rPr>
                <w:noProof/>
                <w:webHidden/>
              </w:rPr>
              <w:instrText xml:space="preserve"> PAGEREF _Toc231462504 \h </w:instrText>
            </w:r>
            <w:r>
              <w:rPr>
                <w:noProof/>
                <w:webHidden/>
              </w:rPr>
            </w:r>
            <w:r>
              <w:rPr>
                <w:noProof/>
                <w:webHidden/>
              </w:rPr>
              <w:fldChar w:fldCharType="separate"/>
            </w:r>
            <w:r>
              <w:rPr>
                <w:noProof/>
                <w:webHidden/>
              </w:rPr>
              <w:t>19</w:t>
            </w:r>
            <w:r>
              <w:rPr>
                <w:noProof/>
                <w:webHidden/>
              </w:rPr>
              <w:fldChar w:fldCharType="end"/>
            </w:r>
          </w:hyperlink>
        </w:p>
        <w:p w14:paraId="031EEB28" w14:textId="44748EE7" w:rsidR="00BC48D1" w:rsidRDefault="00BC48D1">
          <w:pPr>
            <w:pStyle w:val="TOC2"/>
            <w:rPr>
              <w:rFonts w:cstheme="minorBidi"/>
              <w:noProof/>
              <w:kern w:val="2"/>
              <w:sz w:val="24"/>
              <w:szCs w:val="24"/>
              <w:lang w:val="en-GB" w:eastAsia="en-GB"/>
              <w14:ligatures w14:val="standardContextual"/>
            </w:rPr>
          </w:pPr>
          <w:hyperlink w:anchor="_Toc231462505" w:history="1">
            <w:r w:rsidRPr="00915A97">
              <w:rPr>
                <w:rStyle w:val="Hyperlink"/>
                <w:noProof/>
              </w:rPr>
              <w:t>5.4 Documentation as Governance Asset</w:t>
            </w:r>
            <w:r>
              <w:rPr>
                <w:noProof/>
                <w:webHidden/>
              </w:rPr>
              <w:tab/>
            </w:r>
            <w:r>
              <w:rPr>
                <w:noProof/>
                <w:webHidden/>
              </w:rPr>
              <w:fldChar w:fldCharType="begin"/>
            </w:r>
            <w:r>
              <w:rPr>
                <w:noProof/>
                <w:webHidden/>
              </w:rPr>
              <w:instrText xml:space="preserve"> PAGEREF _Toc231462505 \h </w:instrText>
            </w:r>
            <w:r>
              <w:rPr>
                <w:noProof/>
                <w:webHidden/>
              </w:rPr>
            </w:r>
            <w:r>
              <w:rPr>
                <w:noProof/>
                <w:webHidden/>
              </w:rPr>
              <w:fldChar w:fldCharType="separate"/>
            </w:r>
            <w:r>
              <w:rPr>
                <w:noProof/>
                <w:webHidden/>
              </w:rPr>
              <w:t>19</w:t>
            </w:r>
            <w:r>
              <w:rPr>
                <w:noProof/>
                <w:webHidden/>
              </w:rPr>
              <w:fldChar w:fldCharType="end"/>
            </w:r>
          </w:hyperlink>
        </w:p>
        <w:p w14:paraId="543020D1" w14:textId="46CD2D3E" w:rsidR="00BC48D1" w:rsidRDefault="00BC48D1">
          <w:pPr>
            <w:pStyle w:val="TOC2"/>
            <w:rPr>
              <w:rFonts w:cstheme="minorBidi"/>
              <w:noProof/>
              <w:kern w:val="2"/>
              <w:sz w:val="24"/>
              <w:szCs w:val="24"/>
              <w:lang w:val="en-GB" w:eastAsia="en-GB"/>
              <w14:ligatures w14:val="standardContextual"/>
            </w:rPr>
          </w:pPr>
          <w:hyperlink w:anchor="_Toc231462506" w:history="1">
            <w:r w:rsidRPr="00915A97">
              <w:rPr>
                <w:rStyle w:val="Hyperlink"/>
                <w:noProof/>
              </w:rPr>
              <w:t>5.5 Change Management and Corporate Memory</w:t>
            </w:r>
            <w:r>
              <w:rPr>
                <w:noProof/>
                <w:webHidden/>
              </w:rPr>
              <w:tab/>
            </w:r>
            <w:r>
              <w:rPr>
                <w:noProof/>
                <w:webHidden/>
              </w:rPr>
              <w:fldChar w:fldCharType="begin"/>
            </w:r>
            <w:r>
              <w:rPr>
                <w:noProof/>
                <w:webHidden/>
              </w:rPr>
              <w:instrText xml:space="preserve"> PAGEREF _Toc231462506 \h </w:instrText>
            </w:r>
            <w:r>
              <w:rPr>
                <w:noProof/>
                <w:webHidden/>
              </w:rPr>
            </w:r>
            <w:r>
              <w:rPr>
                <w:noProof/>
                <w:webHidden/>
              </w:rPr>
              <w:fldChar w:fldCharType="separate"/>
            </w:r>
            <w:r>
              <w:rPr>
                <w:noProof/>
                <w:webHidden/>
              </w:rPr>
              <w:t>20</w:t>
            </w:r>
            <w:r>
              <w:rPr>
                <w:noProof/>
                <w:webHidden/>
              </w:rPr>
              <w:fldChar w:fldCharType="end"/>
            </w:r>
          </w:hyperlink>
        </w:p>
        <w:p w14:paraId="5567D01D" w14:textId="5E849954" w:rsidR="00BC48D1" w:rsidRDefault="00BC48D1">
          <w:pPr>
            <w:pStyle w:val="TOC2"/>
            <w:rPr>
              <w:rFonts w:cstheme="minorBidi"/>
              <w:noProof/>
              <w:kern w:val="2"/>
              <w:sz w:val="24"/>
              <w:szCs w:val="24"/>
              <w:lang w:val="en-GB" w:eastAsia="en-GB"/>
              <w14:ligatures w14:val="standardContextual"/>
            </w:rPr>
          </w:pPr>
          <w:hyperlink w:anchor="_Toc231462507" w:history="1">
            <w:r w:rsidRPr="00915A97">
              <w:rPr>
                <w:rStyle w:val="Hyperlink"/>
                <w:noProof/>
              </w:rPr>
              <w:t>5.6 Board-Level Exposure</w:t>
            </w:r>
            <w:r>
              <w:rPr>
                <w:noProof/>
                <w:webHidden/>
              </w:rPr>
              <w:tab/>
            </w:r>
            <w:r>
              <w:rPr>
                <w:noProof/>
                <w:webHidden/>
              </w:rPr>
              <w:fldChar w:fldCharType="begin"/>
            </w:r>
            <w:r>
              <w:rPr>
                <w:noProof/>
                <w:webHidden/>
              </w:rPr>
              <w:instrText xml:space="preserve"> PAGEREF _Toc231462507 \h </w:instrText>
            </w:r>
            <w:r>
              <w:rPr>
                <w:noProof/>
                <w:webHidden/>
              </w:rPr>
            </w:r>
            <w:r>
              <w:rPr>
                <w:noProof/>
                <w:webHidden/>
              </w:rPr>
              <w:fldChar w:fldCharType="separate"/>
            </w:r>
            <w:r>
              <w:rPr>
                <w:noProof/>
                <w:webHidden/>
              </w:rPr>
              <w:t>20</w:t>
            </w:r>
            <w:r>
              <w:rPr>
                <w:noProof/>
                <w:webHidden/>
              </w:rPr>
              <w:fldChar w:fldCharType="end"/>
            </w:r>
          </w:hyperlink>
        </w:p>
        <w:p w14:paraId="0AA7BF61" w14:textId="7E004F18" w:rsidR="00BC48D1" w:rsidRDefault="00BC48D1">
          <w:pPr>
            <w:pStyle w:val="TOC2"/>
            <w:rPr>
              <w:rFonts w:cstheme="minorBidi"/>
              <w:noProof/>
              <w:kern w:val="2"/>
              <w:sz w:val="24"/>
              <w:szCs w:val="24"/>
              <w:lang w:val="en-GB" w:eastAsia="en-GB"/>
              <w14:ligatures w14:val="standardContextual"/>
            </w:rPr>
          </w:pPr>
          <w:hyperlink w:anchor="_Toc231462508" w:history="1">
            <w:r w:rsidRPr="00915A97">
              <w:rPr>
                <w:rStyle w:val="Hyperlink"/>
                <w:noProof/>
              </w:rPr>
              <w:t>5.7 From Procedural Compliance to Evidential Integrity</w:t>
            </w:r>
            <w:r>
              <w:rPr>
                <w:noProof/>
                <w:webHidden/>
              </w:rPr>
              <w:tab/>
            </w:r>
            <w:r>
              <w:rPr>
                <w:noProof/>
                <w:webHidden/>
              </w:rPr>
              <w:fldChar w:fldCharType="begin"/>
            </w:r>
            <w:r>
              <w:rPr>
                <w:noProof/>
                <w:webHidden/>
              </w:rPr>
              <w:instrText xml:space="preserve"> PAGEREF _Toc231462508 \h </w:instrText>
            </w:r>
            <w:r>
              <w:rPr>
                <w:noProof/>
                <w:webHidden/>
              </w:rPr>
            </w:r>
            <w:r>
              <w:rPr>
                <w:noProof/>
                <w:webHidden/>
              </w:rPr>
              <w:fldChar w:fldCharType="separate"/>
            </w:r>
            <w:r>
              <w:rPr>
                <w:noProof/>
                <w:webHidden/>
              </w:rPr>
              <w:t>21</w:t>
            </w:r>
            <w:r>
              <w:rPr>
                <w:noProof/>
                <w:webHidden/>
              </w:rPr>
              <w:fldChar w:fldCharType="end"/>
            </w:r>
          </w:hyperlink>
        </w:p>
        <w:p w14:paraId="6065B3B8" w14:textId="016F41DE" w:rsidR="00BC48D1" w:rsidRDefault="00BC48D1">
          <w:pPr>
            <w:pStyle w:val="TOC2"/>
            <w:rPr>
              <w:rFonts w:cstheme="minorBidi"/>
              <w:noProof/>
              <w:kern w:val="2"/>
              <w:sz w:val="24"/>
              <w:szCs w:val="24"/>
              <w:lang w:val="en-GB" w:eastAsia="en-GB"/>
              <w14:ligatures w14:val="standardContextual"/>
            </w:rPr>
          </w:pPr>
          <w:hyperlink w:anchor="_Toc231462509" w:history="1">
            <w:r w:rsidRPr="00915A97">
              <w:rPr>
                <w:rStyle w:val="Hyperlink"/>
                <w:noProof/>
              </w:rPr>
              <w:t>5.8 Summary</w:t>
            </w:r>
            <w:r>
              <w:rPr>
                <w:noProof/>
                <w:webHidden/>
              </w:rPr>
              <w:tab/>
            </w:r>
            <w:r>
              <w:rPr>
                <w:noProof/>
                <w:webHidden/>
              </w:rPr>
              <w:fldChar w:fldCharType="begin"/>
            </w:r>
            <w:r>
              <w:rPr>
                <w:noProof/>
                <w:webHidden/>
              </w:rPr>
              <w:instrText xml:space="preserve"> PAGEREF _Toc231462509 \h </w:instrText>
            </w:r>
            <w:r>
              <w:rPr>
                <w:noProof/>
                <w:webHidden/>
              </w:rPr>
            </w:r>
            <w:r>
              <w:rPr>
                <w:noProof/>
                <w:webHidden/>
              </w:rPr>
              <w:fldChar w:fldCharType="separate"/>
            </w:r>
            <w:r>
              <w:rPr>
                <w:noProof/>
                <w:webHidden/>
              </w:rPr>
              <w:t>21</w:t>
            </w:r>
            <w:r>
              <w:rPr>
                <w:noProof/>
                <w:webHidden/>
              </w:rPr>
              <w:fldChar w:fldCharType="end"/>
            </w:r>
          </w:hyperlink>
        </w:p>
        <w:p w14:paraId="38AC7EA0" w14:textId="0D735AC1" w:rsidR="00BC48D1" w:rsidRDefault="00BC48D1">
          <w:pPr>
            <w:pStyle w:val="TOC1"/>
            <w:tabs>
              <w:tab w:val="right" w:leader="dot" w:pos="9736"/>
            </w:tabs>
            <w:rPr>
              <w:rFonts w:cstheme="minorBidi"/>
              <w:noProof/>
              <w:kern w:val="2"/>
              <w:sz w:val="24"/>
              <w:szCs w:val="24"/>
              <w:lang w:val="en-GB" w:eastAsia="en-GB"/>
              <w14:ligatures w14:val="standardContextual"/>
            </w:rPr>
          </w:pPr>
          <w:hyperlink w:anchor="_Toc231462510" w:history="1">
            <w:r w:rsidRPr="00915A97">
              <w:rPr>
                <w:rStyle w:val="Hyperlink"/>
                <w:noProof/>
              </w:rPr>
              <w:t>Summary: Defensible LEV Commissioning</w:t>
            </w:r>
            <w:r>
              <w:rPr>
                <w:noProof/>
                <w:webHidden/>
              </w:rPr>
              <w:tab/>
            </w:r>
            <w:r>
              <w:rPr>
                <w:noProof/>
                <w:webHidden/>
              </w:rPr>
              <w:fldChar w:fldCharType="begin"/>
            </w:r>
            <w:r>
              <w:rPr>
                <w:noProof/>
                <w:webHidden/>
              </w:rPr>
              <w:instrText xml:space="preserve"> PAGEREF _Toc231462510 \h </w:instrText>
            </w:r>
            <w:r>
              <w:rPr>
                <w:noProof/>
                <w:webHidden/>
              </w:rPr>
            </w:r>
            <w:r>
              <w:rPr>
                <w:noProof/>
                <w:webHidden/>
              </w:rPr>
              <w:fldChar w:fldCharType="separate"/>
            </w:r>
            <w:r>
              <w:rPr>
                <w:noProof/>
                <w:webHidden/>
              </w:rPr>
              <w:t>22</w:t>
            </w:r>
            <w:r>
              <w:rPr>
                <w:noProof/>
                <w:webHidden/>
              </w:rPr>
              <w:fldChar w:fldCharType="end"/>
            </w:r>
          </w:hyperlink>
        </w:p>
        <w:p w14:paraId="4C827F5D" w14:textId="056B74C5" w:rsidR="00BC48D1" w:rsidRDefault="00BC48D1">
          <w:pPr>
            <w:pStyle w:val="TOC2"/>
            <w:rPr>
              <w:rFonts w:cstheme="minorBidi"/>
              <w:noProof/>
              <w:kern w:val="2"/>
              <w:sz w:val="24"/>
              <w:szCs w:val="24"/>
              <w:lang w:val="en-GB" w:eastAsia="en-GB"/>
              <w14:ligatures w14:val="standardContextual"/>
            </w:rPr>
          </w:pPr>
          <w:hyperlink w:anchor="_Toc231462511" w:history="1">
            <w:r w:rsidRPr="00915A97">
              <w:rPr>
                <w:rStyle w:val="Hyperlink"/>
                <w:noProof/>
              </w:rPr>
              <w:t>Why This Matters</w:t>
            </w:r>
            <w:r>
              <w:rPr>
                <w:noProof/>
                <w:webHidden/>
              </w:rPr>
              <w:tab/>
            </w:r>
            <w:r>
              <w:rPr>
                <w:noProof/>
                <w:webHidden/>
              </w:rPr>
              <w:fldChar w:fldCharType="begin"/>
            </w:r>
            <w:r>
              <w:rPr>
                <w:noProof/>
                <w:webHidden/>
              </w:rPr>
              <w:instrText xml:space="preserve"> PAGEREF _Toc231462511 \h </w:instrText>
            </w:r>
            <w:r>
              <w:rPr>
                <w:noProof/>
                <w:webHidden/>
              </w:rPr>
            </w:r>
            <w:r>
              <w:rPr>
                <w:noProof/>
                <w:webHidden/>
              </w:rPr>
              <w:fldChar w:fldCharType="separate"/>
            </w:r>
            <w:r>
              <w:rPr>
                <w:noProof/>
                <w:webHidden/>
              </w:rPr>
              <w:t>22</w:t>
            </w:r>
            <w:r>
              <w:rPr>
                <w:noProof/>
                <w:webHidden/>
              </w:rPr>
              <w:fldChar w:fldCharType="end"/>
            </w:r>
          </w:hyperlink>
        </w:p>
        <w:p w14:paraId="455CF850" w14:textId="5EF01B56" w:rsidR="00BC48D1" w:rsidRDefault="00BC48D1">
          <w:pPr>
            <w:pStyle w:val="TOC2"/>
            <w:rPr>
              <w:rFonts w:cstheme="minorBidi"/>
              <w:noProof/>
              <w:kern w:val="2"/>
              <w:sz w:val="24"/>
              <w:szCs w:val="24"/>
              <w:lang w:val="en-GB" w:eastAsia="en-GB"/>
              <w14:ligatures w14:val="standardContextual"/>
            </w:rPr>
          </w:pPr>
          <w:hyperlink w:anchor="_Toc231462512" w:history="1">
            <w:r w:rsidRPr="00915A97">
              <w:rPr>
                <w:rStyle w:val="Hyperlink"/>
                <w:noProof/>
              </w:rPr>
              <w:t>Key Governance Risks</w:t>
            </w:r>
            <w:r>
              <w:rPr>
                <w:noProof/>
                <w:webHidden/>
              </w:rPr>
              <w:tab/>
            </w:r>
            <w:r>
              <w:rPr>
                <w:noProof/>
                <w:webHidden/>
              </w:rPr>
              <w:fldChar w:fldCharType="begin"/>
            </w:r>
            <w:r>
              <w:rPr>
                <w:noProof/>
                <w:webHidden/>
              </w:rPr>
              <w:instrText xml:space="preserve"> PAGEREF _Toc231462512 \h </w:instrText>
            </w:r>
            <w:r>
              <w:rPr>
                <w:noProof/>
                <w:webHidden/>
              </w:rPr>
            </w:r>
            <w:r>
              <w:rPr>
                <w:noProof/>
                <w:webHidden/>
              </w:rPr>
              <w:fldChar w:fldCharType="separate"/>
            </w:r>
            <w:r>
              <w:rPr>
                <w:noProof/>
                <w:webHidden/>
              </w:rPr>
              <w:t>22</w:t>
            </w:r>
            <w:r>
              <w:rPr>
                <w:noProof/>
                <w:webHidden/>
              </w:rPr>
              <w:fldChar w:fldCharType="end"/>
            </w:r>
          </w:hyperlink>
        </w:p>
        <w:p w14:paraId="1AAEF3A0" w14:textId="3AEFCC20" w:rsidR="00BC48D1" w:rsidRDefault="00BC48D1">
          <w:pPr>
            <w:pStyle w:val="TOC2"/>
            <w:rPr>
              <w:rFonts w:cstheme="minorBidi"/>
              <w:noProof/>
              <w:kern w:val="2"/>
              <w:sz w:val="24"/>
              <w:szCs w:val="24"/>
              <w:lang w:val="en-GB" w:eastAsia="en-GB"/>
              <w14:ligatures w14:val="standardContextual"/>
            </w:rPr>
          </w:pPr>
          <w:hyperlink w:anchor="_Toc231462513" w:history="1">
            <w:r w:rsidRPr="00915A97">
              <w:rPr>
                <w:rStyle w:val="Hyperlink"/>
                <w:noProof/>
              </w:rPr>
              <w:t>What Defensible Commissioning Requires</w:t>
            </w:r>
            <w:r>
              <w:rPr>
                <w:noProof/>
                <w:webHidden/>
              </w:rPr>
              <w:tab/>
            </w:r>
            <w:r>
              <w:rPr>
                <w:noProof/>
                <w:webHidden/>
              </w:rPr>
              <w:fldChar w:fldCharType="begin"/>
            </w:r>
            <w:r>
              <w:rPr>
                <w:noProof/>
                <w:webHidden/>
              </w:rPr>
              <w:instrText xml:space="preserve"> PAGEREF _Toc231462513 \h </w:instrText>
            </w:r>
            <w:r>
              <w:rPr>
                <w:noProof/>
                <w:webHidden/>
              </w:rPr>
            </w:r>
            <w:r>
              <w:rPr>
                <w:noProof/>
                <w:webHidden/>
              </w:rPr>
              <w:fldChar w:fldCharType="separate"/>
            </w:r>
            <w:r>
              <w:rPr>
                <w:noProof/>
                <w:webHidden/>
              </w:rPr>
              <w:t>23</w:t>
            </w:r>
            <w:r>
              <w:rPr>
                <w:noProof/>
                <w:webHidden/>
              </w:rPr>
              <w:fldChar w:fldCharType="end"/>
            </w:r>
          </w:hyperlink>
        </w:p>
        <w:p w14:paraId="44C4FD71" w14:textId="11BDD15B" w:rsidR="00BC48D1" w:rsidRDefault="00BC48D1">
          <w:pPr>
            <w:pStyle w:val="TOC2"/>
            <w:rPr>
              <w:rFonts w:cstheme="minorBidi"/>
              <w:noProof/>
              <w:kern w:val="2"/>
              <w:sz w:val="24"/>
              <w:szCs w:val="24"/>
              <w:lang w:val="en-GB" w:eastAsia="en-GB"/>
              <w14:ligatures w14:val="standardContextual"/>
            </w:rPr>
          </w:pPr>
          <w:hyperlink w:anchor="_Toc231462514" w:history="1">
            <w:r w:rsidRPr="00915A97">
              <w:rPr>
                <w:rStyle w:val="Hyperlink"/>
                <w:noProof/>
              </w:rPr>
              <w:t>Board-Level Questions</w:t>
            </w:r>
            <w:r>
              <w:rPr>
                <w:noProof/>
                <w:webHidden/>
              </w:rPr>
              <w:tab/>
            </w:r>
            <w:r>
              <w:rPr>
                <w:noProof/>
                <w:webHidden/>
              </w:rPr>
              <w:fldChar w:fldCharType="begin"/>
            </w:r>
            <w:r>
              <w:rPr>
                <w:noProof/>
                <w:webHidden/>
              </w:rPr>
              <w:instrText xml:space="preserve"> PAGEREF _Toc231462514 \h </w:instrText>
            </w:r>
            <w:r>
              <w:rPr>
                <w:noProof/>
                <w:webHidden/>
              </w:rPr>
            </w:r>
            <w:r>
              <w:rPr>
                <w:noProof/>
                <w:webHidden/>
              </w:rPr>
              <w:fldChar w:fldCharType="separate"/>
            </w:r>
            <w:r>
              <w:rPr>
                <w:noProof/>
                <w:webHidden/>
              </w:rPr>
              <w:t>23</w:t>
            </w:r>
            <w:r>
              <w:rPr>
                <w:noProof/>
                <w:webHidden/>
              </w:rPr>
              <w:fldChar w:fldCharType="end"/>
            </w:r>
          </w:hyperlink>
        </w:p>
        <w:p w14:paraId="543BBA5B" w14:textId="5DB865D6" w:rsidR="00BC48D1" w:rsidRDefault="00BC48D1">
          <w:pPr>
            <w:pStyle w:val="TOC2"/>
            <w:rPr>
              <w:rFonts w:cstheme="minorBidi"/>
              <w:noProof/>
              <w:kern w:val="2"/>
              <w:sz w:val="24"/>
              <w:szCs w:val="24"/>
              <w:lang w:val="en-GB" w:eastAsia="en-GB"/>
              <w14:ligatures w14:val="standardContextual"/>
            </w:rPr>
          </w:pPr>
          <w:hyperlink w:anchor="_Toc231462515" w:history="1">
            <w:r w:rsidRPr="00915A97">
              <w:rPr>
                <w:rStyle w:val="Hyperlink"/>
                <w:noProof/>
              </w:rPr>
              <w:t>Strategic Position</w:t>
            </w:r>
            <w:r>
              <w:rPr>
                <w:noProof/>
                <w:webHidden/>
              </w:rPr>
              <w:tab/>
            </w:r>
            <w:r>
              <w:rPr>
                <w:noProof/>
                <w:webHidden/>
              </w:rPr>
              <w:fldChar w:fldCharType="begin"/>
            </w:r>
            <w:r>
              <w:rPr>
                <w:noProof/>
                <w:webHidden/>
              </w:rPr>
              <w:instrText xml:space="preserve"> PAGEREF _Toc231462515 \h </w:instrText>
            </w:r>
            <w:r>
              <w:rPr>
                <w:noProof/>
                <w:webHidden/>
              </w:rPr>
            </w:r>
            <w:r>
              <w:rPr>
                <w:noProof/>
                <w:webHidden/>
              </w:rPr>
              <w:fldChar w:fldCharType="separate"/>
            </w:r>
            <w:r>
              <w:rPr>
                <w:noProof/>
                <w:webHidden/>
              </w:rPr>
              <w:t>24</w:t>
            </w:r>
            <w:r>
              <w:rPr>
                <w:noProof/>
                <w:webHidden/>
              </w:rPr>
              <w:fldChar w:fldCharType="end"/>
            </w:r>
          </w:hyperlink>
        </w:p>
        <w:p w14:paraId="4FEA8E38" w14:textId="12691AE4" w:rsidR="007B5D9D" w:rsidRDefault="007B5D9D">
          <w:r w:rsidRPr="007B5D9D">
            <w:rPr>
              <w:rFonts w:ascii="Calibri" w:hAnsi="Calibri" w:cs="Calibri"/>
              <w:b/>
              <w:bCs/>
              <w:noProof/>
            </w:rPr>
            <w:fldChar w:fldCharType="end"/>
          </w:r>
        </w:p>
      </w:sdtContent>
    </w:sdt>
    <w:p w14:paraId="4BCDA8FF" w14:textId="77777777" w:rsidR="007B5D9D" w:rsidRDefault="007B5D9D" w:rsidP="00377AF2">
      <w:pPr>
        <w:pStyle w:val="Heading1"/>
        <w:jc w:val="both"/>
      </w:pPr>
      <w:r>
        <w:br w:type="page"/>
      </w:r>
    </w:p>
    <w:p w14:paraId="211CCC2C" w14:textId="72CD5F4B" w:rsidR="00D66C84" w:rsidRDefault="00D66C84" w:rsidP="00EA70AF">
      <w:pPr>
        <w:pStyle w:val="Heading1"/>
        <w:spacing w:after="160" w:line="312" w:lineRule="auto"/>
        <w:jc w:val="both"/>
      </w:pPr>
      <w:bookmarkStart w:id="0" w:name="_Toc231462472"/>
      <w:r>
        <w:lastRenderedPageBreak/>
        <w:t>Foreword</w:t>
      </w:r>
      <w:bookmarkEnd w:id="0"/>
    </w:p>
    <w:p w14:paraId="4C49DD08" w14:textId="77777777" w:rsidR="00377AF2" w:rsidRDefault="00D66C84" w:rsidP="00EA70AF">
      <w:pPr>
        <w:spacing w:line="312" w:lineRule="auto"/>
        <w:ind w:left="142"/>
        <w:jc w:val="both"/>
        <w:rPr>
          <w:rFonts w:ascii="Calibri" w:hAnsi="Calibri" w:cs="Calibri"/>
        </w:rPr>
      </w:pPr>
      <w:r w:rsidRPr="00D66C84">
        <w:rPr>
          <w:rFonts w:ascii="Calibri" w:hAnsi="Calibri" w:cs="Calibri"/>
        </w:rPr>
        <w:t>Local Exhaust Ventilation (LEV) remains one of the most relied-upon engineering controls for the prevention of occupational exposure to hazardous substances.</w:t>
      </w:r>
      <w:r w:rsidR="00377AF2">
        <w:rPr>
          <w:rFonts w:ascii="Calibri" w:hAnsi="Calibri" w:cs="Calibri"/>
        </w:rPr>
        <w:t xml:space="preserve"> </w:t>
      </w:r>
    </w:p>
    <w:p w14:paraId="21E85154" w14:textId="7883A40C" w:rsidR="00D66C84" w:rsidRPr="00D66C84" w:rsidRDefault="00D66C84" w:rsidP="003B7911">
      <w:pPr>
        <w:spacing w:line="312" w:lineRule="auto"/>
        <w:ind w:left="142"/>
        <w:jc w:val="both"/>
        <w:rPr>
          <w:rFonts w:ascii="Calibri" w:hAnsi="Calibri" w:cs="Calibri"/>
        </w:rPr>
      </w:pPr>
      <w:r w:rsidRPr="00D66C84">
        <w:rPr>
          <w:rFonts w:ascii="Calibri" w:hAnsi="Calibri" w:cs="Calibri"/>
        </w:rPr>
        <w:t>Under the Control of Substances Hazardous to Health (COSHH) Regulations, employers are required to ensure that exposure is either prevented or adequately controlled.</w:t>
      </w:r>
      <w:r w:rsidR="00377AF2">
        <w:rPr>
          <w:rFonts w:ascii="Calibri" w:hAnsi="Calibri" w:cs="Calibri"/>
        </w:rPr>
        <w:t xml:space="preserve"> </w:t>
      </w:r>
      <w:r w:rsidRPr="00D66C84">
        <w:rPr>
          <w:rFonts w:ascii="Calibri" w:hAnsi="Calibri" w:cs="Calibri"/>
        </w:rPr>
        <w:t>Where LEV is relied upon to achieve that control, its performance must be demonstrably effective.</w:t>
      </w:r>
    </w:p>
    <w:p w14:paraId="6884B963" w14:textId="6D3958FE" w:rsidR="00D66C84" w:rsidRPr="00D66C84" w:rsidRDefault="00D66C84" w:rsidP="003B7911">
      <w:pPr>
        <w:spacing w:line="312" w:lineRule="auto"/>
        <w:ind w:left="142"/>
        <w:jc w:val="both"/>
        <w:rPr>
          <w:rFonts w:ascii="Calibri" w:hAnsi="Calibri" w:cs="Calibri"/>
        </w:rPr>
      </w:pPr>
      <w:r w:rsidRPr="00D66C84">
        <w:rPr>
          <w:rFonts w:ascii="Calibri" w:hAnsi="Calibri" w:cs="Calibri"/>
        </w:rPr>
        <w:t xml:space="preserve">Commissioning is the point at which control moves from design assumption to verified capability. It is the stage at which the installed system should be demonstrated </w:t>
      </w:r>
      <w:r w:rsidR="00657AE8">
        <w:rPr>
          <w:rFonts w:ascii="Calibri" w:hAnsi="Calibri" w:cs="Calibri"/>
        </w:rPr>
        <w:t>as capable of</w:t>
      </w:r>
      <w:r w:rsidRPr="00D66C84">
        <w:rPr>
          <w:rFonts w:ascii="Calibri" w:hAnsi="Calibri" w:cs="Calibri"/>
        </w:rPr>
        <w:t xml:space="preserve"> meet</w:t>
      </w:r>
      <w:r w:rsidR="00657AE8">
        <w:rPr>
          <w:rFonts w:ascii="Calibri" w:hAnsi="Calibri" w:cs="Calibri"/>
        </w:rPr>
        <w:t>ing</w:t>
      </w:r>
      <w:r w:rsidRPr="00D66C84">
        <w:rPr>
          <w:rFonts w:ascii="Calibri" w:hAnsi="Calibri" w:cs="Calibri"/>
        </w:rPr>
        <w:t xml:space="preserve"> its intended performance criteria</w:t>
      </w:r>
      <w:r w:rsidR="00657AE8">
        <w:rPr>
          <w:rFonts w:ascii="Calibri" w:hAnsi="Calibri" w:cs="Calibri"/>
        </w:rPr>
        <w:t>.  It is also</w:t>
      </w:r>
      <w:r w:rsidRPr="00D66C84">
        <w:rPr>
          <w:rFonts w:ascii="Calibri" w:hAnsi="Calibri" w:cs="Calibri"/>
        </w:rPr>
        <w:t xml:space="preserve"> where a benchmark is established against which ongoing statutory examination can be measured.</w:t>
      </w:r>
    </w:p>
    <w:p w14:paraId="6032197A" w14:textId="77777777" w:rsidR="00657AE8" w:rsidRDefault="00D66C84" w:rsidP="003B7911">
      <w:pPr>
        <w:spacing w:line="312" w:lineRule="auto"/>
        <w:ind w:left="142"/>
        <w:jc w:val="both"/>
        <w:rPr>
          <w:rFonts w:ascii="Calibri" w:hAnsi="Calibri" w:cs="Calibri"/>
        </w:rPr>
      </w:pPr>
      <w:r w:rsidRPr="00D66C84">
        <w:rPr>
          <w:rFonts w:ascii="Calibri" w:hAnsi="Calibri" w:cs="Calibri"/>
        </w:rPr>
        <w:t xml:space="preserve">In practice, commissioning is sometimes treated as a procedural formality associated with project completion. </w:t>
      </w:r>
      <w:r w:rsidR="00657AE8">
        <w:rPr>
          <w:rFonts w:ascii="Calibri" w:hAnsi="Calibri" w:cs="Calibri"/>
        </w:rPr>
        <w:t xml:space="preserve"> </w:t>
      </w:r>
      <w:r w:rsidRPr="00D66C84">
        <w:rPr>
          <w:rFonts w:ascii="Calibri" w:hAnsi="Calibri" w:cs="Calibri"/>
        </w:rPr>
        <w:t xml:space="preserve">However, from a regulatory perspective, commissioning represents the evidential foundation upon which subsequent assurance depends. </w:t>
      </w:r>
    </w:p>
    <w:p w14:paraId="46C8FBCF" w14:textId="1045C8B9" w:rsidR="00D66C84" w:rsidRPr="00D66C84" w:rsidRDefault="00D66C84" w:rsidP="003B7911">
      <w:pPr>
        <w:spacing w:line="312" w:lineRule="auto"/>
        <w:ind w:left="142"/>
        <w:jc w:val="both"/>
        <w:rPr>
          <w:rFonts w:ascii="Calibri" w:hAnsi="Calibri" w:cs="Calibri"/>
        </w:rPr>
      </w:pPr>
      <w:r w:rsidRPr="00D66C84">
        <w:rPr>
          <w:rFonts w:ascii="Calibri" w:hAnsi="Calibri" w:cs="Calibri"/>
        </w:rPr>
        <w:t>Without clearly defined design intent, measurable performance benchmarks and structured documentation, it may be difficult for Duty Holders to demonstrate that exposure control was ever adequately established.</w:t>
      </w:r>
    </w:p>
    <w:p w14:paraId="2770FCCE" w14:textId="7D0846F7" w:rsidR="00D66C84" w:rsidRPr="00D66C84" w:rsidRDefault="00D66C84" w:rsidP="003B7911">
      <w:pPr>
        <w:spacing w:line="312" w:lineRule="auto"/>
        <w:ind w:left="142"/>
        <w:jc w:val="both"/>
        <w:rPr>
          <w:rFonts w:ascii="Calibri" w:hAnsi="Calibri" w:cs="Calibri"/>
        </w:rPr>
      </w:pPr>
      <w:r w:rsidRPr="00D66C84">
        <w:rPr>
          <w:rFonts w:ascii="Calibri" w:hAnsi="Calibri" w:cs="Calibri"/>
        </w:rPr>
        <w:t xml:space="preserve">This paper does not seek to reinterpret statutory requirements. </w:t>
      </w:r>
      <w:r w:rsidR="00657AE8">
        <w:rPr>
          <w:rFonts w:ascii="Calibri" w:hAnsi="Calibri" w:cs="Calibri"/>
        </w:rPr>
        <w:t xml:space="preserve"> </w:t>
      </w:r>
      <w:r w:rsidRPr="00D66C84">
        <w:rPr>
          <w:rFonts w:ascii="Calibri" w:hAnsi="Calibri" w:cs="Calibri"/>
        </w:rPr>
        <w:t>Rather, it aims to clarify the governance and evidential implications of commissioning within the existing regulatory framework. It emphasises the distinction between:</w:t>
      </w:r>
    </w:p>
    <w:p w14:paraId="349F450D" w14:textId="6AA16811" w:rsidR="00D66C84" w:rsidRPr="00657AE8" w:rsidRDefault="00D66C84" w:rsidP="00377AF2">
      <w:pPr>
        <w:pStyle w:val="ListParagraph"/>
        <w:numPr>
          <w:ilvl w:val="0"/>
          <w:numId w:val="34"/>
        </w:numPr>
        <w:spacing w:line="312" w:lineRule="auto"/>
        <w:jc w:val="both"/>
        <w:rPr>
          <w:rFonts w:ascii="Calibri" w:hAnsi="Calibri" w:cs="Calibri"/>
        </w:rPr>
      </w:pPr>
      <w:r w:rsidRPr="00657AE8">
        <w:rPr>
          <w:rFonts w:ascii="Calibri" w:hAnsi="Calibri" w:cs="Calibri"/>
        </w:rPr>
        <w:t xml:space="preserve">Establishing capability (commissioning), and </w:t>
      </w:r>
    </w:p>
    <w:p w14:paraId="5D28D1DF" w14:textId="38B2C2EC" w:rsidR="00D66C84" w:rsidRPr="00657AE8" w:rsidRDefault="00D66C84" w:rsidP="00377AF2">
      <w:pPr>
        <w:pStyle w:val="ListParagraph"/>
        <w:numPr>
          <w:ilvl w:val="0"/>
          <w:numId w:val="34"/>
        </w:numPr>
        <w:spacing w:line="312" w:lineRule="auto"/>
        <w:jc w:val="both"/>
        <w:rPr>
          <w:rFonts w:ascii="Calibri" w:hAnsi="Calibri" w:cs="Calibri"/>
        </w:rPr>
      </w:pPr>
      <w:r w:rsidRPr="00657AE8">
        <w:rPr>
          <w:rFonts w:ascii="Calibri" w:hAnsi="Calibri" w:cs="Calibri"/>
        </w:rPr>
        <w:t xml:space="preserve">Confirming ongoing condition (Thorough Examination and Test). </w:t>
      </w:r>
    </w:p>
    <w:p w14:paraId="0208432A" w14:textId="47324BFC" w:rsidR="00D66C84" w:rsidRPr="00D66C84" w:rsidRDefault="00D66C84" w:rsidP="003B7911">
      <w:pPr>
        <w:spacing w:line="312" w:lineRule="auto"/>
        <w:ind w:left="142"/>
        <w:jc w:val="both"/>
        <w:rPr>
          <w:rFonts w:ascii="Calibri" w:hAnsi="Calibri" w:cs="Calibri"/>
        </w:rPr>
      </w:pPr>
      <w:r w:rsidRPr="00D66C84">
        <w:rPr>
          <w:rFonts w:ascii="Calibri" w:hAnsi="Calibri" w:cs="Calibri"/>
        </w:rPr>
        <w:t>By presenting a structured framework for defensible commissioning, this document seeks to support organisations in strengthening their ability to demonstrate effective control of exposure, consistent with the intent of C</w:t>
      </w:r>
      <w:r w:rsidR="00657AE8">
        <w:rPr>
          <w:rFonts w:ascii="Calibri" w:hAnsi="Calibri" w:cs="Calibri"/>
        </w:rPr>
        <w:t>o</w:t>
      </w:r>
      <w:r w:rsidRPr="00D66C84">
        <w:rPr>
          <w:rFonts w:ascii="Calibri" w:hAnsi="Calibri" w:cs="Calibri"/>
        </w:rPr>
        <w:t>SHH and established guidance such as HSG258.</w:t>
      </w:r>
    </w:p>
    <w:p w14:paraId="470A4E0D" w14:textId="689FC5FB" w:rsidR="00D66C84" w:rsidRDefault="00D66C84" w:rsidP="003B7911">
      <w:pPr>
        <w:spacing w:line="312" w:lineRule="auto"/>
        <w:ind w:left="142"/>
        <w:jc w:val="both"/>
        <w:rPr>
          <w:rFonts w:ascii="Calibri" w:hAnsi="Calibri" w:cs="Calibri"/>
        </w:rPr>
      </w:pPr>
      <w:r w:rsidRPr="00D66C84">
        <w:rPr>
          <w:rFonts w:ascii="Calibri" w:hAnsi="Calibri" w:cs="Calibri"/>
        </w:rPr>
        <w:t>The objective is not to increase procedural burden, but to reinforce clarity of responsibility, competence and documentation so that engineering controls relied upon for worker protection</w:t>
      </w:r>
      <w:r w:rsidR="00657AE8">
        <w:rPr>
          <w:rFonts w:ascii="Calibri" w:hAnsi="Calibri" w:cs="Calibri"/>
        </w:rPr>
        <w:t>,</w:t>
      </w:r>
      <w:r w:rsidRPr="00D66C84">
        <w:rPr>
          <w:rFonts w:ascii="Calibri" w:hAnsi="Calibri" w:cs="Calibri"/>
        </w:rPr>
        <w:t xml:space="preserve"> </w:t>
      </w:r>
      <w:r w:rsidR="00657AE8" w:rsidRPr="00D66C84">
        <w:rPr>
          <w:rFonts w:ascii="Calibri" w:hAnsi="Calibri" w:cs="Calibri"/>
        </w:rPr>
        <w:t>under scrutiny</w:t>
      </w:r>
      <w:r w:rsidR="00657AE8">
        <w:rPr>
          <w:rFonts w:ascii="Calibri" w:hAnsi="Calibri" w:cs="Calibri"/>
        </w:rPr>
        <w:t>,</w:t>
      </w:r>
      <w:r w:rsidR="00657AE8" w:rsidRPr="00D66C84">
        <w:rPr>
          <w:rFonts w:ascii="Calibri" w:hAnsi="Calibri" w:cs="Calibri"/>
        </w:rPr>
        <w:t xml:space="preserve"> </w:t>
      </w:r>
      <w:r w:rsidRPr="00D66C84">
        <w:rPr>
          <w:rFonts w:ascii="Calibri" w:hAnsi="Calibri" w:cs="Calibri"/>
        </w:rPr>
        <w:t>can be evidenced with confidence.</w:t>
      </w:r>
    </w:p>
    <w:p w14:paraId="14EE9ACB" w14:textId="77777777" w:rsidR="00377AF2" w:rsidRPr="00377AF2" w:rsidRDefault="00377AF2" w:rsidP="00377AF2">
      <w:pPr>
        <w:jc w:val="both"/>
        <w:rPr>
          <w:rFonts w:ascii="Calibri" w:hAnsi="Calibri" w:cs="Calibri"/>
        </w:rPr>
      </w:pPr>
    </w:p>
    <w:p w14:paraId="45EEFC6F" w14:textId="5D8B4334" w:rsidR="005E1E11" w:rsidRPr="00B669C0" w:rsidRDefault="00AE0A5F" w:rsidP="00377AF2">
      <w:pPr>
        <w:pStyle w:val="Heading1"/>
        <w:jc w:val="both"/>
      </w:pPr>
      <w:bookmarkStart w:id="1" w:name="_Toc231462473"/>
      <w:r>
        <w:lastRenderedPageBreak/>
        <w:t xml:space="preserve">Section 1: </w:t>
      </w:r>
      <w:r w:rsidR="005E1E11" w:rsidRPr="00B669C0">
        <w:t>Executive Summary</w:t>
      </w:r>
      <w:bookmarkEnd w:id="1"/>
    </w:p>
    <w:p w14:paraId="7C56FB1F" w14:textId="77777777" w:rsidR="005E1E11" w:rsidRPr="005E1E11" w:rsidRDefault="005E1E11" w:rsidP="00EA70AF">
      <w:pPr>
        <w:pStyle w:val="Heading2"/>
        <w:spacing w:after="160" w:line="312" w:lineRule="auto"/>
        <w:jc w:val="both"/>
      </w:pPr>
      <w:bookmarkStart w:id="2" w:name="_Toc231462474"/>
      <w:r w:rsidRPr="005E1E11">
        <w:t>Defensible LEV Commissioning: A Governance Framework for Duty Holders</w:t>
      </w:r>
      <w:bookmarkEnd w:id="2"/>
    </w:p>
    <w:p w14:paraId="1A4A31E5" w14:textId="4EB454B4" w:rsidR="002E7ACD" w:rsidRPr="00377AF2" w:rsidRDefault="002E7ACD" w:rsidP="00EA70AF">
      <w:pPr>
        <w:spacing w:line="312" w:lineRule="auto"/>
        <w:ind w:left="142"/>
        <w:jc w:val="both"/>
        <w:rPr>
          <w:rFonts w:ascii="Calibri" w:hAnsi="Calibri" w:cs="Calibri"/>
          <w:b/>
          <w:bCs/>
        </w:rPr>
      </w:pPr>
      <w:r w:rsidRPr="00377AF2">
        <w:rPr>
          <w:rFonts w:ascii="Calibri" w:hAnsi="Calibri" w:cs="Calibri"/>
          <w:b/>
          <w:bCs/>
        </w:rPr>
        <w:t>Why Now?</w:t>
      </w:r>
    </w:p>
    <w:p w14:paraId="31580252" w14:textId="605AE684" w:rsidR="00DA5959" w:rsidRDefault="00DA5959" w:rsidP="007B0A46">
      <w:pPr>
        <w:spacing w:line="312" w:lineRule="auto"/>
        <w:ind w:left="142"/>
        <w:jc w:val="both"/>
        <w:rPr>
          <w:rFonts w:ascii="Calibri" w:hAnsi="Calibri" w:cs="Calibri"/>
        </w:rPr>
      </w:pPr>
      <w:r w:rsidRPr="00DA5959">
        <w:rPr>
          <w:rFonts w:ascii="Calibri" w:hAnsi="Calibri" w:cs="Calibri"/>
        </w:rPr>
        <w:t xml:space="preserve">Increasing regulatory focus on exposure control, occupational disease claims, and corporate governance means organisations are being asked not merely whether LEV systems exist, but whether they can demonstrate that those systems </w:t>
      </w:r>
      <w:proofErr w:type="gramStart"/>
      <w:r w:rsidRPr="00DA5959">
        <w:rPr>
          <w:rFonts w:ascii="Calibri" w:hAnsi="Calibri" w:cs="Calibri"/>
        </w:rPr>
        <w:t>were capable of achieving</w:t>
      </w:r>
      <w:proofErr w:type="gramEnd"/>
      <w:r w:rsidRPr="00DA5959">
        <w:rPr>
          <w:rFonts w:ascii="Calibri" w:hAnsi="Calibri" w:cs="Calibri"/>
        </w:rPr>
        <w:t xml:space="preserve"> effective control from the outset.</w:t>
      </w:r>
    </w:p>
    <w:p w14:paraId="5E12F8D5" w14:textId="77777777" w:rsidR="00DA5959" w:rsidRDefault="005E1E11" w:rsidP="007B0A46">
      <w:pPr>
        <w:spacing w:line="312" w:lineRule="auto"/>
        <w:ind w:left="142"/>
        <w:jc w:val="both"/>
        <w:rPr>
          <w:rFonts w:ascii="Calibri" w:hAnsi="Calibri" w:cs="Calibri"/>
        </w:rPr>
      </w:pPr>
      <w:r w:rsidRPr="005E1E11">
        <w:rPr>
          <w:rFonts w:ascii="Calibri" w:hAnsi="Calibri" w:cs="Calibri"/>
        </w:rPr>
        <w:t>L</w:t>
      </w:r>
      <w:r w:rsidR="00DA5959">
        <w:rPr>
          <w:rFonts w:ascii="Calibri" w:hAnsi="Calibri" w:cs="Calibri"/>
        </w:rPr>
        <w:t>EV</w:t>
      </w:r>
      <w:r w:rsidRPr="005E1E11">
        <w:rPr>
          <w:rFonts w:ascii="Calibri" w:hAnsi="Calibri" w:cs="Calibri"/>
        </w:rPr>
        <w:t xml:space="preserve"> commissioning is </w:t>
      </w:r>
      <w:r w:rsidR="00DA5959">
        <w:rPr>
          <w:rFonts w:ascii="Calibri" w:hAnsi="Calibri" w:cs="Calibri"/>
        </w:rPr>
        <w:t xml:space="preserve">therefore </w:t>
      </w:r>
      <w:r w:rsidRPr="005E1E11">
        <w:rPr>
          <w:rFonts w:ascii="Calibri" w:hAnsi="Calibri" w:cs="Calibri"/>
        </w:rPr>
        <w:t>increasingly recognised as a regulatory priority.</w:t>
      </w:r>
      <w:r>
        <w:rPr>
          <w:rFonts w:ascii="Calibri" w:hAnsi="Calibri" w:cs="Calibri"/>
        </w:rPr>
        <w:t xml:space="preserve"> </w:t>
      </w:r>
      <w:r w:rsidRPr="005E1E11">
        <w:rPr>
          <w:rFonts w:ascii="Calibri" w:hAnsi="Calibri" w:cs="Calibri"/>
        </w:rPr>
        <w:t xml:space="preserve"> </w:t>
      </w:r>
    </w:p>
    <w:p w14:paraId="2CAAFEE0" w14:textId="7724F90D" w:rsidR="005E1E11" w:rsidRPr="005E1E11" w:rsidRDefault="005E1E11" w:rsidP="007B0A46">
      <w:pPr>
        <w:spacing w:line="312" w:lineRule="auto"/>
        <w:ind w:left="142"/>
        <w:jc w:val="both"/>
        <w:rPr>
          <w:rFonts w:ascii="Calibri" w:hAnsi="Calibri" w:cs="Calibri"/>
        </w:rPr>
      </w:pPr>
      <w:r w:rsidRPr="005E1E11">
        <w:rPr>
          <w:rFonts w:ascii="Calibri" w:hAnsi="Calibri" w:cs="Calibri"/>
        </w:rPr>
        <w:t>Under C</w:t>
      </w:r>
      <w:r>
        <w:rPr>
          <w:rFonts w:ascii="Calibri" w:hAnsi="Calibri" w:cs="Calibri"/>
        </w:rPr>
        <w:t>o</w:t>
      </w:r>
      <w:r w:rsidRPr="005E1E11">
        <w:rPr>
          <w:rFonts w:ascii="Calibri" w:hAnsi="Calibri" w:cs="Calibri"/>
        </w:rPr>
        <w:t>SHH, the Duty Holder is required to ensure that exposure to hazardous substances is either prevented or adequately controlled.</w:t>
      </w:r>
      <w:r>
        <w:rPr>
          <w:rFonts w:ascii="Calibri" w:hAnsi="Calibri" w:cs="Calibri"/>
        </w:rPr>
        <w:t xml:space="preserve"> </w:t>
      </w:r>
      <w:r w:rsidRPr="005E1E11">
        <w:rPr>
          <w:rFonts w:ascii="Calibri" w:hAnsi="Calibri" w:cs="Calibri"/>
        </w:rPr>
        <w:t>Commissioning is the point at which that control must be demonstrated — not assumed.</w:t>
      </w:r>
    </w:p>
    <w:p w14:paraId="3700B124" w14:textId="3E6F3536" w:rsidR="005E1E11" w:rsidRPr="005E1E11" w:rsidRDefault="005E1E11" w:rsidP="007B0A46">
      <w:pPr>
        <w:spacing w:line="312" w:lineRule="auto"/>
        <w:ind w:left="142"/>
        <w:jc w:val="both"/>
        <w:rPr>
          <w:rFonts w:ascii="Calibri" w:hAnsi="Calibri" w:cs="Calibri"/>
        </w:rPr>
      </w:pPr>
      <w:r w:rsidRPr="005E1E11">
        <w:rPr>
          <w:rFonts w:ascii="Calibri" w:hAnsi="Calibri" w:cs="Calibri"/>
        </w:rPr>
        <w:t xml:space="preserve">In many organisations, commissioning is treated as a procedural stage at the end of installation. </w:t>
      </w:r>
      <w:r>
        <w:rPr>
          <w:rFonts w:ascii="Calibri" w:hAnsi="Calibri" w:cs="Calibri"/>
        </w:rPr>
        <w:t xml:space="preserve"> </w:t>
      </w:r>
      <w:r w:rsidRPr="005E1E11">
        <w:rPr>
          <w:rFonts w:ascii="Calibri" w:hAnsi="Calibri" w:cs="Calibri"/>
        </w:rPr>
        <w:t>Documentation is produced, airflow readings are recorded, and the system is handed over.</w:t>
      </w:r>
      <w:r w:rsidR="000B11EF">
        <w:rPr>
          <w:rFonts w:ascii="Calibri" w:hAnsi="Calibri" w:cs="Calibri"/>
        </w:rPr>
        <w:t xml:space="preserve"> </w:t>
      </w:r>
      <w:r w:rsidRPr="005E1E11">
        <w:rPr>
          <w:rFonts w:ascii="Calibri" w:hAnsi="Calibri" w:cs="Calibri"/>
        </w:rPr>
        <w:t>However, commissioning is not a formality. It is the moment where design intent becomes measurable performance and where capability is evidenced for the first time.</w:t>
      </w:r>
    </w:p>
    <w:p w14:paraId="30987CC8" w14:textId="77777777" w:rsidR="005E1E11" w:rsidRPr="005E1E11" w:rsidRDefault="005E1E11" w:rsidP="007B0A46">
      <w:pPr>
        <w:spacing w:line="312" w:lineRule="auto"/>
        <w:ind w:left="142"/>
        <w:jc w:val="both"/>
        <w:rPr>
          <w:rFonts w:ascii="Calibri" w:hAnsi="Calibri" w:cs="Calibri"/>
        </w:rPr>
      </w:pPr>
      <w:r w:rsidRPr="005E1E11">
        <w:rPr>
          <w:rFonts w:ascii="Calibri" w:hAnsi="Calibri" w:cs="Calibri"/>
        </w:rPr>
        <w:t>If commissioning is weak:</w:t>
      </w:r>
    </w:p>
    <w:p w14:paraId="64F7E22A" w14:textId="48D4758E" w:rsidR="005E1E11" w:rsidRPr="000B11EF" w:rsidRDefault="005E1E11" w:rsidP="000B11EF">
      <w:pPr>
        <w:pStyle w:val="ListParagraph"/>
        <w:numPr>
          <w:ilvl w:val="0"/>
          <w:numId w:val="39"/>
        </w:numPr>
        <w:spacing w:line="312" w:lineRule="auto"/>
        <w:jc w:val="both"/>
        <w:rPr>
          <w:rFonts w:ascii="Calibri" w:hAnsi="Calibri" w:cs="Calibri"/>
        </w:rPr>
      </w:pPr>
      <w:r w:rsidRPr="000B11EF">
        <w:rPr>
          <w:rFonts w:ascii="Calibri" w:hAnsi="Calibri" w:cs="Calibri"/>
        </w:rPr>
        <w:t>Exposure control cannot be confidently assured</w:t>
      </w:r>
    </w:p>
    <w:p w14:paraId="14AC5979" w14:textId="5E5D2174" w:rsidR="005E1E11" w:rsidRPr="000B11EF" w:rsidRDefault="005E1E11" w:rsidP="000B11EF">
      <w:pPr>
        <w:pStyle w:val="ListParagraph"/>
        <w:numPr>
          <w:ilvl w:val="0"/>
          <w:numId w:val="39"/>
        </w:numPr>
        <w:spacing w:line="312" w:lineRule="auto"/>
        <w:jc w:val="both"/>
        <w:rPr>
          <w:rFonts w:ascii="Calibri" w:hAnsi="Calibri" w:cs="Calibri"/>
        </w:rPr>
      </w:pPr>
      <w:r w:rsidRPr="000B11EF">
        <w:rPr>
          <w:rFonts w:ascii="Calibri" w:hAnsi="Calibri" w:cs="Calibri"/>
        </w:rPr>
        <w:t>Annual Thorough Examination and Test (TExT) results lack meaningful reference</w:t>
      </w:r>
    </w:p>
    <w:p w14:paraId="32F1463B" w14:textId="6CA7A19B" w:rsidR="005E1E11" w:rsidRPr="000B11EF" w:rsidRDefault="005E1E11" w:rsidP="000B11EF">
      <w:pPr>
        <w:pStyle w:val="ListParagraph"/>
        <w:numPr>
          <w:ilvl w:val="0"/>
          <w:numId w:val="39"/>
        </w:numPr>
        <w:spacing w:line="312" w:lineRule="auto"/>
        <w:jc w:val="both"/>
        <w:rPr>
          <w:rFonts w:ascii="Calibri" w:hAnsi="Calibri" w:cs="Calibri"/>
        </w:rPr>
      </w:pPr>
      <w:r w:rsidRPr="000B11EF">
        <w:rPr>
          <w:rFonts w:ascii="Calibri" w:hAnsi="Calibri" w:cs="Calibri"/>
        </w:rPr>
        <w:t>Compliance becomes difficult to defend under scrutiny</w:t>
      </w:r>
    </w:p>
    <w:p w14:paraId="18330DD6" w14:textId="328C8174" w:rsidR="005E1E11" w:rsidRDefault="005E1E11" w:rsidP="007B0A46">
      <w:pPr>
        <w:spacing w:line="312" w:lineRule="auto"/>
        <w:ind w:left="142"/>
        <w:jc w:val="both"/>
        <w:rPr>
          <w:rFonts w:ascii="Calibri" w:hAnsi="Calibri" w:cs="Calibri"/>
        </w:rPr>
      </w:pPr>
      <w:r w:rsidRPr="005E1E11">
        <w:rPr>
          <w:rFonts w:ascii="Calibri" w:hAnsi="Calibri" w:cs="Calibri"/>
        </w:rPr>
        <w:t xml:space="preserve">Annual testing confirms </w:t>
      </w:r>
      <w:r>
        <w:rPr>
          <w:rFonts w:ascii="Calibri" w:hAnsi="Calibri" w:cs="Calibri"/>
        </w:rPr>
        <w:t xml:space="preserve">only a </w:t>
      </w:r>
      <w:r w:rsidRPr="005E1E11">
        <w:rPr>
          <w:rFonts w:ascii="Calibri" w:hAnsi="Calibri" w:cs="Calibri"/>
        </w:rPr>
        <w:t xml:space="preserve">condition at a point in time. Commissioning establishes capability. </w:t>
      </w:r>
    </w:p>
    <w:p w14:paraId="6D202604" w14:textId="45A2F8E4" w:rsidR="005E1E11" w:rsidRPr="005E1E11" w:rsidRDefault="005E1E11" w:rsidP="007B0A46">
      <w:pPr>
        <w:spacing w:line="312" w:lineRule="auto"/>
        <w:ind w:left="142"/>
        <w:jc w:val="both"/>
        <w:rPr>
          <w:rFonts w:ascii="Calibri" w:hAnsi="Calibri" w:cs="Calibri"/>
        </w:rPr>
      </w:pPr>
      <w:r w:rsidRPr="005E1E11">
        <w:rPr>
          <w:rFonts w:ascii="Calibri" w:hAnsi="Calibri" w:cs="Calibri"/>
        </w:rPr>
        <w:t>Without a properly defined and documented performance benchmark at handover, ongoing testing cannot demonstrate that the system was ever capable of controlling exposure as intended.</w:t>
      </w:r>
    </w:p>
    <w:p w14:paraId="2423D4BC" w14:textId="534F0858" w:rsidR="005E1E11" w:rsidRDefault="005E1E11" w:rsidP="007B0A46">
      <w:pPr>
        <w:spacing w:line="312" w:lineRule="auto"/>
        <w:ind w:left="142"/>
        <w:jc w:val="both"/>
        <w:rPr>
          <w:rFonts w:ascii="Calibri" w:hAnsi="Calibri" w:cs="Calibri"/>
        </w:rPr>
      </w:pPr>
      <w:r w:rsidRPr="005E1E11">
        <w:rPr>
          <w:rFonts w:ascii="Calibri" w:hAnsi="Calibri" w:cs="Calibri"/>
        </w:rPr>
        <w:t xml:space="preserve">There remains widespread misunderstanding in the industry between qualification and competence. </w:t>
      </w:r>
    </w:p>
    <w:p w14:paraId="055F4677" w14:textId="4513D01D" w:rsidR="005E1E11" w:rsidRPr="005E1E11" w:rsidRDefault="005E1E11" w:rsidP="007B0A46">
      <w:pPr>
        <w:spacing w:line="312" w:lineRule="auto"/>
        <w:ind w:left="142"/>
        <w:jc w:val="both"/>
        <w:rPr>
          <w:rFonts w:ascii="Calibri" w:hAnsi="Calibri" w:cs="Calibri"/>
        </w:rPr>
      </w:pPr>
      <w:r w:rsidRPr="005E1E11">
        <w:rPr>
          <w:rFonts w:ascii="Calibri" w:hAnsi="Calibri" w:cs="Calibri"/>
        </w:rPr>
        <w:t>Attendance on a recognised training course or possession of a BOHS certificate is an important milestone, but it does not in itself guarantee the ability to interpret contaminant behaviour, verify system resistance, establish appropriate capture performance, or document defensible evidence of control. Under COSHH, the Duty Holder retains responsibility for ensuring that those appointed to commission LEV systems are competent to do so.</w:t>
      </w:r>
    </w:p>
    <w:p w14:paraId="331F02FF" w14:textId="0DA4EEDE" w:rsidR="005E1E11" w:rsidRPr="005E1E11" w:rsidRDefault="005E1E11" w:rsidP="007B0A46">
      <w:pPr>
        <w:spacing w:line="312" w:lineRule="auto"/>
        <w:ind w:left="142"/>
        <w:jc w:val="both"/>
        <w:rPr>
          <w:rFonts w:ascii="Calibri" w:hAnsi="Calibri" w:cs="Calibri"/>
        </w:rPr>
      </w:pPr>
      <w:r w:rsidRPr="005E1E11">
        <w:rPr>
          <w:rFonts w:ascii="Calibri" w:hAnsi="Calibri" w:cs="Calibri"/>
        </w:rPr>
        <w:lastRenderedPageBreak/>
        <w:t xml:space="preserve">In addition, commercial integration between system design, installation and commissioning can introduce perceived or actual conflicts of interest. </w:t>
      </w:r>
      <w:r>
        <w:rPr>
          <w:rFonts w:ascii="Calibri" w:hAnsi="Calibri" w:cs="Calibri"/>
        </w:rPr>
        <w:t xml:space="preserve"> </w:t>
      </w:r>
      <w:r w:rsidRPr="005E1E11">
        <w:rPr>
          <w:rFonts w:ascii="Calibri" w:hAnsi="Calibri" w:cs="Calibri"/>
        </w:rPr>
        <w:t>Where commissioning is conducted without independent scrutiny or clear reference to documented design intent, the evidential value of that commissioning can be undermined.</w:t>
      </w:r>
    </w:p>
    <w:p w14:paraId="47C2BA37" w14:textId="77777777" w:rsidR="005E1E11" w:rsidRPr="005E1E11" w:rsidRDefault="005E1E11" w:rsidP="007B0A46">
      <w:pPr>
        <w:spacing w:line="312" w:lineRule="auto"/>
        <w:ind w:left="142"/>
        <w:jc w:val="both"/>
        <w:rPr>
          <w:rFonts w:ascii="Calibri" w:hAnsi="Calibri" w:cs="Calibri"/>
        </w:rPr>
      </w:pPr>
      <w:r w:rsidRPr="005E1E11">
        <w:rPr>
          <w:rFonts w:ascii="Calibri" w:hAnsi="Calibri" w:cs="Calibri"/>
        </w:rPr>
        <w:t xml:space="preserve">This paper introduces the </w:t>
      </w:r>
      <w:r w:rsidRPr="005E1E11">
        <w:rPr>
          <w:rFonts w:ascii="Calibri" w:hAnsi="Calibri" w:cs="Calibri"/>
          <w:b/>
          <w:bCs/>
        </w:rPr>
        <w:t>OXYL8 Defensible Commissioning Framework™</w:t>
      </w:r>
      <w:r w:rsidRPr="005E1E11">
        <w:rPr>
          <w:rFonts w:ascii="Calibri" w:hAnsi="Calibri" w:cs="Calibri"/>
        </w:rPr>
        <w:t xml:space="preserve">, a structured model designed to clarify what commissioning must achieve </w:t>
      </w:r>
      <w:proofErr w:type="gramStart"/>
      <w:r w:rsidRPr="005E1E11">
        <w:rPr>
          <w:rFonts w:ascii="Calibri" w:hAnsi="Calibri" w:cs="Calibri"/>
        </w:rPr>
        <w:t>in order to</w:t>
      </w:r>
      <w:proofErr w:type="gramEnd"/>
      <w:r w:rsidRPr="005E1E11">
        <w:rPr>
          <w:rFonts w:ascii="Calibri" w:hAnsi="Calibri" w:cs="Calibri"/>
        </w:rPr>
        <w:t xml:space="preserve"> provide governance-level assurance. The framework separates five essential stages:</w:t>
      </w:r>
    </w:p>
    <w:p w14:paraId="146EB80F" w14:textId="58A8BC7A" w:rsidR="005E1E11" w:rsidRPr="005E1E11" w:rsidRDefault="005E1E11" w:rsidP="00377AF2">
      <w:pPr>
        <w:pStyle w:val="ListParagraph"/>
        <w:numPr>
          <w:ilvl w:val="0"/>
          <w:numId w:val="2"/>
        </w:numPr>
        <w:spacing w:line="312" w:lineRule="auto"/>
        <w:jc w:val="both"/>
        <w:rPr>
          <w:rFonts w:ascii="Calibri" w:hAnsi="Calibri" w:cs="Calibri"/>
        </w:rPr>
      </w:pPr>
      <w:r w:rsidRPr="005E1E11">
        <w:rPr>
          <w:rFonts w:ascii="Calibri" w:hAnsi="Calibri" w:cs="Calibri"/>
        </w:rPr>
        <w:t xml:space="preserve">Definition of design intent </w:t>
      </w:r>
    </w:p>
    <w:p w14:paraId="7697D663" w14:textId="3FDB3D71" w:rsidR="005E1E11" w:rsidRPr="005E1E11" w:rsidRDefault="005E1E11" w:rsidP="00377AF2">
      <w:pPr>
        <w:pStyle w:val="ListParagraph"/>
        <w:numPr>
          <w:ilvl w:val="0"/>
          <w:numId w:val="2"/>
        </w:numPr>
        <w:spacing w:line="312" w:lineRule="auto"/>
        <w:jc w:val="both"/>
        <w:rPr>
          <w:rFonts w:ascii="Calibri" w:hAnsi="Calibri" w:cs="Calibri"/>
        </w:rPr>
      </w:pPr>
      <w:r w:rsidRPr="005E1E11">
        <w:rPr>
          <w:rFonts w:ascii="Calibri" w:hAnsi="Calibri" w:cs="Calibri"/>
        </w:rPr>
        <w:t xml:space="preserve">Technical verification of installed configuration </w:t>
      </w:r>
    </w:p>
    <w:p w14:paraId="3A0883FC" w14:textId="2DF352B8" w:rsidR="005E1E11" w:rsidRPr="005E1E11" w:rsidRDefault="005E1E11" w:rsidP="00377AF2">
      <w:pPr>
        <w:pStyle w:val="ListParagraph"/>
        <w:numPr>
          <w:ilvl w:val="0"/>
          <w:numId w:val="2"/>
        </w:numPr>
        <w:spacing w:line="312" w:lineRule="auto"/>
        <w:jc w:val="both"/>
        <w:rPr>
          <w:rFonts w:ascii="Calibri" w:hAnsi="Calibri" w:cs="Calibri"/>
        </w:rPr>
      </w:pPr>
      <w:r w:rsidRPr="005E1E11">
        <w:rPr>
          <w:rFonts w:ascii="Calibri" w:hAnsi="Calibri" w:cs="Calibri"/>
        </w:rPr>
        <w:t xml:space="preserve">Measurable performance benchmarking </w:t>
      </w:r>
    </w:p>
    <w:p w14:paraId="73BC234D" w14:textId="6F6C2F5B" w:rsidR="005E1E11" w:rsidRPr="005E1E11" w:rsidRDefault="005E1E11" w:rsidP="00377AF2">
      <w:pPr>
        <w:pStyle w:val="ListParagraph"/>
        <w:numPr>
          <w:ilvl w:val="0"/>
          <w:numId w:val="2"/>
        </w:numPr>
        <w:spacing w:line="312" w:lineRule="auto"/>
        <w:jc w:val="both"/>
        <w:rPr>
          <w:rFonts w:ascii="Calibri" w:hAnsi="Calibri" w:cs="Calibri"/>
        </w:rPr>
      </w:pPr>
      <w:r w:rsidRPr="005E1E11">
        <w:rPr>
          <w:rFonts w:ascii="Calibri" w:hAnsi="Calibri" w:cs="Calibri"/>
        </w:rPr>
        <w:t xml:space="preserve">Structured documentation of evidence </w:t>
      </w:r>
    </w:p>
    <w:p w14:paraId="13A32920" w14:textId="752199A1" w:rsidR="005E1E11" w:rsidRPr="005E1E11" w:rsidRDefault="005E1E11" w:rsidP="00377AF2">
      <w:pPr>
        <w:pStyle w:val="ListParagraph"/>
        <w:numPr>
          <w:ilvl w:val="0"/>
          <w:numId w:val="2"/>
        </w:numPr>
        <w:spacing w:line="312" w:lineRule="auto"/>
        <w:jc w:val="both"/>
        <w:rPr>
          <w:rFonts w:ascii="Calibri" w:hAnsi="Calibri" w:cs="Calibri"/>
        </w:rPr>
      </w:pPr>
      <w:r w:rsidRPr="005E1E11">
        <w:rPr>
          <w:rFonts w:ascii="Calibri" w:hAnsi="Calibri" w:cs="Calibri"/>
        </w:rPr>
        <w:t xml:space="preserve">Ongoing assurance against established benchmarks </w:t>
      </w:r>
    </w:p>
    <w:p w14:paraId="6BBA479F" w14:textId="01BA58AA" w:rsidR="005E1E11" w:rsidRDefault="005E1E11" w:rsidP="007B0A46">
      <w:pPr>
        <w:spacing w:line="312" w:lineRule="auto"/>
        <w:ind w:left="142"/>
        <w:jc w:val="both"/>
        <w:rPr>
          <w:rFonts w:ascii="Calibri" w:hAnsi="Calibri" w:cs="Calibri"/>
        </w:rPr>
      </w:pPr>
      <w:r w:rsidRPr="005E1E11">
        <w:rPr>
          <w:rFonts w:ascii="Calibri" w:hAnsi="Calibri" w:cs="Calibri"/>
        </w:rPr>
        <w:t>By reframing commissioning as a governance function rather than a procedural task, organisations can strengthen their ability to demonstrate effective control of exposure, withstand regulatory scrutiny, and protect worker health.</w:t>
      </w:r>
    </w:p>
    <w:p w14:paraId="1AE1F17C" w14:textId="68E19DA8" w:rsidR="00606D76" w:rsidRPr="005E1E11" w:rsidRDefault="003D75E6" w:rsidP="007B0A46">
      <w:pPr>
        <w:spacing w:line="312" w:lineRule="auto"/>
        <w:ind w:left="142"/>
        <w:jc w:val="both"/>
        <w:rPr>
          <w:rFonts w:ascii="Calibri" w:hAnsi="Calibri" w:cs="Calibri"/>
        </w:rPr>
      </w:pPr>
      <w:r>
        <w:rPr>
          <w:rFonts w:ascii="Calibri" w:hAnsi="Calibri" w:cs="Calibri"/>
          <w:noProof/>
        </w:rPr>
        <mc:AlternateContent>
          <mc:Choice Requires="wps">
            <w:drawing>
              <wp:anchor distT="0" distB="0" distL="114300" distR="114300" simplePos="0" relativeHeight="251661311" behindDoc="1" locked="0" layoutInCell="1" allowOverlap="1" wp14:anchorId="5ECD1EF2" wp14:editId="010D536F">
                <wp:simplePos x="0" y="0"/>
                <wp:positionH relativeFrom="margin">
                  <wp:posOffset>82550</wp:posOffset>
                </wp:positionH>
                <wp:positionV relativeFrom="paragraph">
                  <wp:posOffset>99695</wp:posOffset>
                </wp:positionV>
                <wp:extent cx="5994400" cy="1022350"/>
                <wp:effectExtent l="0" t="0" r="25400" b="25400"/>
                <wp:wrapNone/>
                <wp:docPr id="304321417" name="Rectangle 5"/>
                <wp:cNvGraphicFramePr/>
                <a:graphic xmlns:a="http://schemas.openxmlformats.org/drawingml/2006/main">
                  <a:graphicData uri="http://schemas.microsoft.com/office/word/2010/wordprocessingShape">
                    <wps:wsp>
                      <wps:cNvSpPr/>
                      <wps:spPr>
                        <a:xfrm>
                          <a:off x="0" y="0"/>
                          <a:ext cx="5994400" cy="1022350"/>
                        </a:xfrm>
                        <a:prstGeom prst="rect">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CBF88" id="Rectangle 5" o:spid="_x0000_s1026" style="position:absolute;margin-left:6.5pt;margin-top:7.85pt;width:472pt;height:80.5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" fillcolor="#156082 [3204]" strokecolor="white [3201]" strokeweight="1.5pt">
                <w10:wrap anchorx="margin"/>
              </v:rect>
            </w:pict>
          </mc:Fallback>
        </mc:AlternateContent>
      </w:r>
    </w:p>
    <w:p w14:paraId="036EEB0C" w14:textId="2A480804" w:rsidR="005E1E11" w:rsidRPr="00606D76" w:rsidRDefault="005E1E11" w:rsidP="00606D76">
      <w:pPr>
        <w:jc w:val="center"/>
        <w:rPr>
          <w:b/>
          <w:bCs/>
          <w:i/>
          <w:iCs/>
          <w:color w:val="FFC000"/>
        </w:rPr>
      </w:pPr>
      <w:r w:rsidRPr="00606D76">
        <w:rPr>
          <w:b/>
          <w:bCs/>
          <w:i/>
          <w:iCs/>
          <w:color w:val="FFC000"/>
        </w:rPr>
        <w:t xml:space="preserve">Commissioning is not simply </w:t>
      </w:r>
      <w:r w:rsidR="00FF4CFE">
        <w:rPr>
          <w:b/>
          <w:bCs/>
          <w:i/>
          <w:iCs/>
          <w:color w:val="FFC000"/>
        </w:rPr>
        <w:t xml:space="preserve">a </w:t>
      </w:r>
      <w:r w:rsidRPr="00606D76">
        <w:rPr>
          <w:b/>
          <w:bCs/>
          <w:i/>
          <w:iCs/>
          <w:color w:val="FFC000"/>
        </w:rPr>
        <w:t>paperwork or ‘box ticking’ exercise.</w:t>
      </w:r>
    </w:p>
    <w:p w14:paraId="513BEC52" w14:textId="1395B9AA" w:rsidR="005E1E11" w:rsidRPr="00606D76" w:rsidRDefault="005E1E11" w:rsidP="00606D76">
      <w:pPr>
        <w:jc w:val="center"/>
        <w:rPr>
          <w:b/>
          <w:bCs/>
          <w:i/>
          <w:iCs/>
          <w:color w:val="FFC000"/>
        </w:rPr>
      </w:pPr>
      <w:r w:rsidRPr="00606D76">
        <w:rPr>
          <w:b/>
          <w:bCs/>
          <w:i/>
          <w:iCs/>
          <w:color w:val="FFC000"/>
        </w:rPr>
        <w:t>It is the point at which proven LEV performance becomes defensible — or not.</w:t>
      </w:r>
    </w:p>
    <w:p w14:paraId="1278CE01" w14:textId="05FC41BF" w:rsidR="00554115" w:rsidRDefault="00554115" w:rsidP="00377AF2">
      <w:pPr>
        <w:jc w:val="both"/>
        <w:rPr>
          <w:rFonts w:ascii="Calibri" w:hAnsi="Calibri" w:cs="Calibri"/>
        </w:rPr>
      </w:pPr>
    </w:p>
    <w:p w14:paraId="51F1D0C8" w14:textId="787B7F61" w:rsidR="00606D76" w:rsidRPr="00606D76" w:rsidRDefault="00606D76" w:rsidP="00377AF2">
      <w:pPr>
        <w:jc w:val="both"/>
        <w:rPr>
          <w:rFonts w:ascii="Calibri" w:hAnsi="Calibri" w:cs="Calibri"/>
          <w:sz w:val="12"/>
          <w:szCs w:val="12"/>
        </w:rPr>
        <w:sectPr w:rsidR="00606D76" w:rsidRPr="00606D76" w:rsidSect="00377AF2">
          <w:pgSz w:w="11906" w:h="16838"/>
          <w:pgMar w:top="1440" w:right="1080" w:bottom="1440" w:left="1080" w:header="708" w:footer="708" w:gutter="0"/>
          <w:cols w:space="708"/>
          <w:docGrid w:linePitch="360"/>
        </w:sectPr>
      </w:pPr>
    </w:p>
    <w:p w14:paraId="14B3A6F2" w14:textId="14522EE3" w:rsidR="005E1E11" w:rsidRDefault="005E1E11" w:rsidP="00377AF2">
      <w:pPr>
        <w:jc w:val="both"/>
        <w:rPr>
          <w:rFonts w:ascii="Calibri" w:hAnsi="Calibri" w:cs="Calibri"/>
        </w:rPr>
      </w:pPr>
    </w:p>
    <w:p w14:paraId="4A86F537" w14:textId="61F1AFD9" w:rsidR="005E1E11" w:rsidRPr="00B669C0" w:rsidRDefault="005E1E11" w:rsidP="00377AF2">
      <w:pPr>
        <w:pStyle w:val="Heading1"/>
        <w:jc w:val="both"/>
      </w:pPr>
      <w:bookmarkStart w:id="3" w:name="_Toc231462475"/>
      <w:r w:rsidRPr="00B669C0">
        <w:t>Section 2</w:t>
      </w:r>
      <w:r w:rsidR="00AE0A5F">
        <w:t xml:space="preserve">: </w:t>
      </w:r>
      <w:r w:rsidRPr="00B669C0">
        <w:t>The Common Misunderstanding</w:t>
      </w:r>
      <w:bookmarkEnd w:id="3"/>
    </w:p>
    <w:p w14:paraId="07B4DAD6" w14:textId="00DB16FE" w:rsidR="005E1E11" w:rsidRPr="00B669C0" w:rsidRDefault="005E1E11" w:rsidP="00377AF2">
      <w:pPr>
        <w:pStyle w:val="Heading2"/>
        <w:jc w:val="both"/>
      </w:pPr>
      <w:bookmarkStart w:id="4" w:name="_Toc231462476"/>
      <w:r w:rsidRPr="00B669C0">
        <w:t>2.1 Commissioning Treated as Administrative Closure</w:t>
      </w:r>
      <w:bookmarkEnd w:id="4"/>
    </w:p>
    <w:p w14:paraId="403BEC94" w14:textId="29BA251F" w:rsidR="005E1E11" w:rsidRPr="005E1E11" w:rsidRDefault="005E1E11" w:rsidP="007B0A46">
      <w:pPr>
        <w:spacing w:line="312" w:lineRule="auto"/>
        <w:ind w:left="142"/>
        <w:jc w:val="both"/>
        <w:rPr>
          <w:rFonts w:ascii="Calibri" w:hAnsi="Calibri" w:cs="Calibri"/>
        </w:rPr>
      </w:pPr>
      <w:r w:rsidRPr="005E1E11">
        <w:rPr>
          <w:rFonts w:ascii="Calibri" w:hAnsi="Calibri" w:cs="Calibri"/>
        </w:rPr>
        <w:t xml:space="preserve">In many projects, commissioning is perceived as the final administrative step before handover. </w:t>
      </w:r>
      <w:r>
        <w:rPr>
          <w:rFonts w:ascii="Calibri" w:hAnsi="Calibri" w:cs="Calibri"/>
        </w:rPr>
        <w:t xml:space="preserve"> </w:t>
      </w:r>
      <w:r w:rsidRPr="005E1E11">
        <w:rPr>
          <w:rFonts w:ascii="Calibri" w:hAnsi="Calibri" w:cs="Calibri"/>
        </w:rPr>
        <w:t xml:space="preserve">Once installation is complete and airflow measurements have been taken, documentation is compiled and issued to the client. </w:t>
      </w:r>
      <w:r>
        <w:rPr>
          <w:rFonts w:ascii="Calibri" w:hAnsi="Calibri" w:cs="Calibri"/>
        </w:rPr>
        <w:t xml:space="preserve"> </w:t>
      </w:r>
      <w:r w:rsidRPr="005E1E11">
        <w:rPr>
          <w:rFonts w:ascii="Calibri" w:hAnsi="Calibri" w:cs="Calibri"/>
        </w:rPr>
        <w:t>The process is often viewed as confirmation that the system is operational.</w:t>
      </w:r>
    </w:p>
    <w:p w14:paraId="55EFC361" w14:textId="4ACE6032" w:rsidR="005E1E11" w:rsidRPr="005E1E11" w:rsidRDefault="005E1E11" w:rsidP="007B0A46">
      <w:pPr>
        <w:spacing w:line="312" w:lineRule="auto"/>
        <w:ind w:left="142"/>
        <w:jc w:val="both"/>
        <w:rPr>
          <w:rFonts w:ascii="Calibri" w:hAnsi="Calibri" w:cs="Calibri"/>
        </w:rPr>
      </w:pPr>
      <w:r w:rsidRPr="005E1E11">
        <w:rPr>
          <w:rFonts w:ascii="Calibri" w:hAnsi="Calibri" w:cs="Calibri"/>
        </w:rPr>
        <w:t>This interpretation is incomplete.</w:t>
      </w:r>
    </w:p>
    <w:p w14:paraId="30F2E907" w14:textId="0D29A189" w:rsidR="009B21C6" w:rsidRDefault="005E1E11" w:rsidP="00133446">
      <w:pPr>
        <w:spacing w:line="312" w:lineRule="auto"/>
        <w:ind w:left="142"/>
        <w:jc w:val="both"/>
        <w:rPr>
          <w:rFonts w:ascii="Calibri" w:hAnsi="Calibri" w:cs="Calibri"/>
        </w:rPr>
      </w:pPr>
      <w:r w:rsidRPr="005E1E11">
        <w:rPr>
          <w:rFonts w:ascii="Calibri" w:hAnsi="Calibri" w:cs="Calibri"/>
        </w:rPr>
        <w:t xml:space="preserve">Commissioning should not simply confirm that a fan runs and that airflow is present. </w:t>
      </w:r>
      <w:r>
        <w:rPr>
          <w:rFonts w:ascii="Calibri" w:hAnsi="Calibri" w:cs="Calibri"/>
        </w:rPr>
        <w:t xml:space="preserve"> </w:t>
      </w:r>
      <w:r w:rsidRPr="005E1E11">
        <w:rPr>
          <w:rFonts w:ascii="Calibri" w:hAnsi="Calibri" w:cs="Calibri"/>
        </w:rPr>
        <w:t xml:space="preserve">It must demonstrate that the system </w:t>
      </w:r>
      <w:r>
        <w:rPr>
          <w:rFonts w:ascii="Calibri" w:hAnsi="Calibri" w:cs="Calibri"/>
        </w:rPr>
        <w:t xml:space="preserve">is capable of </w:t>
      </w:r>
      <w:proofErr w:type="gramStart"/>
      <w:r>
        <w:rPr>
          <w:rFonts w:ascii="Calibri" w:hAnsi="Calibri" w:cs="Calibri"/>
        </w:rPr>
        <w:t xml:space="preserve">actually </w:t>
      </w:r>
      <w:r w:rsidRPr="005E1E11">
        <w:rPr>
          <w:rFonts w:ascii="Calibri" w:hAnsi="Calibri" w:cs="Calibri"/>
        </w:rPr>
        <w:t>achiev</w:t>
      </w:r>
      <w:r>
        <w:rPr>
          <w:rFonts w:ascii="Calibri" w:hAnsi="Calibri" w:cs="Calibri"/>
        </w:rPr>
        <w:t>ing</w:t>
      </w:r>
      <w:proofErr w:type="gramEnd"/>
      <w:r w:rsidRPr="005E1E11">
        <w:rPr>
          <w:rFonts w:ascii="Calibri" w:hAnsi="Calibri" w:cs="Calibri"/>
        </w:rPr>
        <w:t xml:space="preserve"> the specific control performance required for the identified hazard. </w:t>
      </w:r>
      <w:r>
        <w:rPr>
          <w:rFonts w:ascii="Calibri" w:hAnsi="Calibri" w:cs="Calibri"/>
        </w:rPr>
        <w:t xml:space="preserve"> </w:t>
      </w:r>
      <w:r w:rsidRPr="005E1E11">
        <w:rPr>
          <w:rFonts w:ascii="Calibri" w:hAnsi="Calibri" w:cs="Calibri"/>
        </w:rPr>
        <w:t>Where commissioning is reduced to a checklist exercise, the evidential value of the process is significantly weakened.</w:t>
      </w:r>
    </w:p>
    <w:p w14:paraId="1A85C63A" w14:textId="13140026" w:rsidR="009B21C6" w:rsidRDefault="009B21C6" w:rsidP="009B21C6">
      <w:pPr>
        <w:spacing w:line="312" w:lineRule="auto"/>
        <w:jc w:val="both"/>
        <w:rPr>
          <w:rFonts w:ascii="Calibri" w:hAnsi="Calibri" w:cs="Calibri"/>
        </w:rPr>
      </w:pPr>
    </w:p>
    <w:p w14:paraId="47893505" w14:textId="4191A83F" w:rsidR="005E1E11" w:rsidRPr="00B669C0" w:rsidRDefault="005E1E11" w:rsidP="009B21C6">
      <w:pPr>
        <w:pStyle w:val="Heading2"/>
        <w:spacing w:after="160" w:line="312" w:lineRule="auto"/>
        <w:jc w:val="both"/>
      </w:pPr>
      <w:bookmarkStart w:id="5" w:name="_Toc231462477"/>
      <w:r w:rsidRPr="00B669C0">
        <w:t>2.2 Over-Reliance on Annual Testing</w:t>
      </w:r>
      <w:bookmarkEnd w:id="5"/>
    </w:p>
    <w:p w14:paraId="75C3D735" w14:textId="77777777" w:rsidR="005E1E11" w:rsidRPr="005E1E11" w:rsidRDefault="005E1E11" w:rsidP="007B0A46">
      <w:pPr>
        <w:spacing w:line="312" w:lineRule="auto"/>
        <w:ind w:left="142"/>
        <w:jc w:val="both"/>
        <w:rPr>
          <w:rFonts w:ascii="Calibri" w:hAnsi="Calibri" w:cs="Calibri"/>
        </w:rPr>
      </w:pPr>
      <w:r w:rsidRPr="005E1E11">
        <w:rPr>
          <w:rFonts w:ascii="Calibri" w:hAnsi="Calibri" w:cs="Calibri"/>
        </w:rPr>
        <w:t xml:space="preserve">A common misconception is that a satisfactory Thorough Examination and Test (TExT) </w:t>
      </w:r>
      <w:proofErr w:type="gramStart"/>
      <w:r w:rsidRPr="005E1E11">
        <w:rPr>
          <w:rFonts w:ascii="Calibri" w:hAnsi="Calibri" w:cs="Calibri"/>
        </w:rPr>
        <w:t>demonstrates</w:t>
      </w:r>
      <w:proofErr w:type="gramEnd"/>
      <w:r w:rsidRPr="005E1E11">
        <w:rPr>
          <w:rFonts w:ascii="Calibri" w:hAnsi="Calibri" w:cs="Calibri"/>
        </w:rPr>
        <w:t xml:space="preserve"> effective control.</w:t>
      </w:r>
    </w:p>
    <w:p w14:paraId="7523F6A6" w14:textId="35A61FB3" w:rsidR="005E1E11" w:rsidRPr="005E1E11" w:rsidRDefault="005E1E11" w:rsidP="007B0A46">
      <w:pPr>
        <w:spacing w:line="312" w:lineRule="auto"/>
        <w:ind w:left="142"/>
        <w:jc w:val="both"/>
        <w:rPr>
          <w:rFonts w:ascii="Calibri" w:hAnsi="Calibri" w:cs="Calibri"/>
        </w:rPr>
      </w:pPr>
      <w:r w:rsidRPr="005E1E11">
        <w:rPr>
          <w:rFonts w:ascii="Calibri" w:hAnsi="Calibri" w:cs="Calibri"/>
        </w:rPr>
        <w:t xml:space="preserve">TExT is a statutory requirement under COSHH Regulation 9. </w:t>
      </w:r>
      <w:r>
        <w:rPr>
          <w:rFonts w:ascii="Calibri" w:hAnsi="Calibri" w:cs="Calibri"/>
        </w:rPr>
        <w:t xml:space="preserve"> </w:t>
      </w:r>
      <w:r w:rsidRPr="005E1E11">
        <w:rPr>
          <w:rFonts w:ascii="Calibri" w:hAnsi="Calibri" w:cs="Calibri"/>
        </w:rPr>
        <w:t>Its purpose is to confirm that an existing system continues to function as intended. However, TExT compares current performance against a benchmark.</w:t>
      </w:r>
    </w:p>
    <w:p w14:paraId="7FBA3BCE" w14:textId="5D566A01" w:rsidR="005E1E11" w:rsidRPr="005E1E11" w:rsidRDefault="005E1E11" w:rsidP="007B0A46">
      <w:pPr>
        <w:spacing w:line="312" w:lineRule="auto"/>
        <w:ind w:left="142"/>
        <w:jc w:val="both"/>
        <w:rPr>
          <w:rFonts w:ascii="Calibri" w:hAnsi="Calibri" w:cs="Calibri"/>
        </w:rPr>
      </w:pPr>
      <w:r w:rsidRPr="005E1E11">
        <w:rPr>
          <w:rFonts w:ascii="Calibri" w:hAnsi="Calibri" w:cs="Calibri"/>
        </w:rPr>
        <w:t xml:space="preserve">If no meaningful performance benchmark was established at commissioning, the </w:t>
      </w:r>
      <w:r w:rsidR="00212BFC">
        <w:rPr>
          <w:rFonts w:ascii="Calibri" w:hAnsi="Calibri" w:cs="Calibri"/>
        </w:rPr>
        <w:t>subsequent TExTs</w:t>
      </w:r>
      <w:r w:rsidRPr="005E1E11">
        <w:rPr>
          <w:rFonts w:ascii="Calibri" w:hAnsi="Calibri" w:cs="Calibri"/>
        </w:rPr>
        <w:t xml:space="preserve"> may only confirm that the system is performing consistently with its previous condition — not that it is </w:t>
      </w:r>
      <w:r w:rsidR="00212BFC">
        <w:rPr>
          <w:rFonts w:ascii="Calibri" w:hAnsi="Calibri" w:cs="Calibri"/>
        </w:rPr>
        <w:t xml:space="preserve">fully </w:t>
      </w:r>
      <w:r w:rsidRPr="005E1E11">
        <w:rPr>
          <w:rFonts w:ascii="Calibri" w:hAnsi="Calibri" w:cs="Calibri"/>
        </w:rPr>
        <w:t>capable of controlling exposure adequately.</w:t>
      </w:r>
    </w:p>
    <w:p w14:paraId="269557A2" w14:textId="77777777" w:rsidR="005E1E11" w:rsidRDefault="005E1E11" w:rsidP="007B0A46">
      <w:pPr>
        <w:spacing w:line="312" w:lineRule="auto"/>
        <w:ind w:left="142"/>
        <w:jc w:val="both"/>
        <w:rPr>
          <w:rFonts w:ascii="Calibri" w:hAnsi="Calibri" w:cs="Calibri"/>
        </w:rPr>
      </w:pPr>
      <w:r w:rsidRPr="005E1E11">
        <w:rPr>
          <w:rFonts w:ascii="Calibri" w:hAnsi="Calibri" w:cs="Calibri"/>
        </w:rPr>
        <w:t>This distinction between capability and condition is fundamental.</w:t>
      </w:r>
    </w:p>
    <w:p w14:paraId="17F6A79F" w14:textId="77777777" w:rsidR="009B21C6" w:rsidRPr="005E1E11" w:rsidRDefault="009B21C6" w:rsidP="009B21C6">
      <w:pPr>
        <w:spacing w:line="312" w:lineRule="auto"/>
        <w:jc w:val="both"/>
        <w:rPr>
          <w:rFonts w:ascii="Calibri" w:hAnsi="Calibri" w:cs="Calibri"/>
        </w:rPr>
      </w:pPr>
    </w:p>
    <w:p w14:paraId="6A5A0699" w14:textId="6C892E0A" w:rsidR="005E1E11" w:rsidRPr="00B669C0" w:rsidRDefault="005E1E11" w:rsidP="009B21C6">
      <w:pPr>
        <w:pStyle w:val="Heading2"/>
        <w:spacing w:after="160" w:line="312" w:lineRule="auto"/>
        <w:jc w:val="both"/>
      </w:pPr>
      <w:bookmarkStart w:id="6" w:name="_Toc231462478"/>
      <w:r w:rsidRPr="00B669C0">
        <w:t>2.3 Absence of Documented Design Intent</w:t>
      </w:r>
      <w:bookmarkEnd w:id="6"/>
    </w:p>
    <w:p w14:paraId="1ABC15A5" w14:textId="42C33F8B" w:rsidR="005E1E11" w:rsidRPr="005E1E11" w:rsidRDefault="005E1E11" w:rsidP="007B0A46">
      <w:pPr>
        <w:spacing w:line="312" w:lineRule="auto"/>
        <w:ind w:left="142"/>
        <w:jc w:val="both"/>
        <w:rPr>
          <w:rFonts w:ascii="Calibri" w:hAnsi="Calibri" w:cs="Calibri"/>
        </w:rPr>
      </w:pPr>
      <w:r w:rsidRPr="005E1E11">
        <w:rPr>
          <w:rFonts w:ascii="Calibri" w:hAnsi="Calibri" w:cs="Calibri"/>
        </w:rPr>
        <w:t xml:space="preserve">Effective commissioning begins with clearly defined design intent. </w:t>
      </w:r>
      <w:r w:rsidR="00212BFC">
        <w:rPr>
          <w:rFonts w:ascii="Calibri" w:hAnsi="Calibri" w:cs="Calibri"/>
        </w:rPr>
        <w:t>For example, t</w:t>
      </w:r>
      <w:r w:rsidRPr="005E1E11">
        <w:rPr>
          <w:rFonts w:ascii="Calibri" w:hAnsi="Calibri" w:cs="Calibri"/>
        </w:rPr>
        <w:t>his should include:</w:t>
      </w:r>
    </w:p>
    <w:p w14:paraId="3C970A4C" w14:textId="574BC92C" w:rsidR="005E1E11" w:rsidRDefault="005E1E11" w:rsidP="009B21C6">
      <w:pPr>
        <w:pStyle w:val="ListParagraph"/>
        <w:numPr>
          <w:ilvl w:val="0"/>
          <w:numId w:val="3"/>
        </w:numPr>
        <w:spacing w:line="312" w:lineRule="auto"/>
        <w:jc w:val="both"/>
        <w:rPr>
          <w:rFonts w:ascii="Calibri" w:hAnsi="Calibri" w:cs="Calibri"/>
        </w:rPr>
      </w:pPr>
      <w:r w:rsidRPr="00212BFC">
        <w:rPr>
          <w:rFonts w:ascii="Calibri" w:hAnsi="Calibri" w:cs="Calibri"/>
        </w:rPr>
        <w:t>The hazardous substance(s) involved</w:t>
      </w:r>
    </w:p>
    <w:p w14:paraId="497AE7BA" w14:textId="27578A81" w:rsidR="00212BFC" w:rsidRPr="00212BFC" w:rsidRDefault="00212BFC" w:rsidP="009B21C6">
      <w:pPr>
        <w:pStyle w:val="ListParagraph"/>
        <w:numPr>
          <w:ilvl w:val="0"/>
          <w:numId w:val="3"/>
        </w:numPr>
        <w:spacing w:line="312" w:lineRule="auto"/>
        <w:jc w:val="both"/>
        <w:rPr>
          <w:rFonts w:ascii="Calibri" w:hAnsi="Calibri" w:cs="Calibri"/>
        </w:rPr>
      </w:pPr>
      <w:r>
        <w:rPr>
          <w:rFonts w:ascii="Calibri" w:hAnsi="Calibri" w:cs="Calibri"/>
        </w:rPr>
        <w:t>Required control Benchmark</w:t>
      </w:r>
    </w:p>
    <w:p w14:paraId="0972D7A9" w14:textId="592A1677" w:rsidR="005E1E11" w:rsidRPr="00212BFC" w:rsidRDefault="00212BFC" w:rsidP="009B21C6">
      <w:pPr>
        <w:pStyle w:val="ListParagraph"/>
        <w:numPr>
          <w:ilvl w:val="0"/>
          <w:numId w:val="3"/>
        </w:numPr>
        <w:spacing w:line="312" w:lineRule="auto"/>
        <w:jc w:val="both"/>
        <w:rPr>
          <w:rFonts w:ascii="Calibri" w:hAnsi="Calibri" w:cs="Calibri"/>
        </w:rPr>
      </w:pPr>
      <w:r>
        <w:rPr>
          <w:rFonts w:ascii="Calibri" w:hAnsi="Calibri" w:cs="Calibri"/>
        </w:rPr>
        <w:t xml:space="preserve">Process arrangements and </w:t>
      </w:r>
      <w:r w:rsidR="005E1E11" w:rsidRPr="00212BFC">
        <w:rPr>
          <w:rFonts w:ascii="Calibri" w:hAnsi="Calibri" w:cs="Calibri"/>
        </w:rPr>
        <w:t xml:space="preserve">Contaminant generation characteristics </w:t>
      </w:r>
    </w:p>
    <w:p w14:paraId="15C81DE7" w14:textId="267BEDD2" w:rsidR="005E1E11" w:rsidRPr="00212BFC" w:rsidRDefault="005E1E11" w:rsidP="009B21C6">
      <w:pPr>
        <w:pStyle w:val="ListParagraph"/>
        <w:numPr>
          <w:ilvl w:val="0"/>
          <w:numId w:val="3"/>
        </w:numPr>
        <w:spacing w:line="312" w:lineRule="auto"/>
        <w:jc w:val="both"/>
        <w:rPr>
          <w:rFonts w:ascii="Calibri" w:hAnsi="Calibri" w:cs="Calibri"/>
        </w:rPr>
      </w:pPr>
      <w:r w:rsidRPr="00212BFC">
        <w:rPr>
          <w:rFonts w:ascii="Calibri" w:hAnsi="Calibri" w:cs="Calibri"/>
        </w:rPr>
        <w:t xml:space="preserve">Required </w:t>
      </w:r>
      <w:r w:rsidR="00212BFC">
        <w:rPr>
          <w:rFonts w:ascii="Calibri" w:hAnsi="Calibri" w:cs="Calibri"/>
        </w:rPr>
        <w:t>control</w:t>
      </w:r>
      <w:r w:rsidRPr="00212BFC">
        <w:rPr>
          <w:rFonts w:ascii="Calibri" w:hAnsi="Calibri" w:cs="Calibri"/>
        </w:rPr>
        <w:t xml:space="preserve"> mechanism </w:t>
      </w:r>
    </w:p>
    <w:p w14:paraId="392FE08A" w14:textId="5FC302B5" w:rsidR="005E1E11" w:rsidRPr="00212BFC" w:rsidRDefault="005E1E11" w:rsidP="009B21C6">
      <w:pPr>
        <w:pStyle w:val="ListParagraph"/>
        <w:numPr>
          <w:ilvl w:val="0"/>
          <w:numId w:val="3"/>
        </w:numPr>
        <w:spacing w:line="312" w:lineRule="auto"/>
        <w:jc w:val="both"/>
        <w:rPr>
          <w:rFonts w:ascii="Calibri" w:hAnsi="Calibri" w:cs="Calibri"/>
        </w:rPr>
      </w:pPr>
      <w:r w:rsidRPr="00212BFC">
        <w:rPr>
          <w:rFonts w:ascii="Calibri" w:hAnsi="Calibri" w:cs="Calibri"/>
        </w:rPr>
        <w:t>Target velocities</w:t>
      </w:r>
      <w:r w:rsidR="00212BFC">
        <w:rPr>
          <w:rFonts w:ascii="Calibri" w:hAnsi="Calibri" w:cs="Calibri"/>
        </w:rPr>
        <w:t>, pressures, flowrates</w:t>
      </w:r>
    </w:p>
    <w:p w14:paraId="4D8C8235" w14:textId="5669D3B2" w:rsidR="005E1E11" w:rsidRPr="005E1E11" w:rsidRDefault="005E1E11" w:rsidP="007B0A46">
      <w:pPr>
        <w:spacing w:line="312" w:lineRule="auto"/>
        <w:ind w:left="142"/>
        <w:jc w:val="both"/>
        <w:rPr>
          <w:rFonts w:ascii="Calibri" w:hAnsi="Calibri" w:cs="Calibri"/>
        </w:rPr>
      </w:pPr>
      <w:r w:rsidRPr="005E1E11">
        <w:rPr>
          <w:rFonts w:ascii="Calibri" w:hAnsi="Calibri" w:cs="Calibri"/>
        </w:rPr>
        <w:t xml:space="preserve">In practice, design intent is often poorly documented or not formally recorded in a way that links </w:t>
      </w:r>
      <w:r w:rsidR="00212BFC">
        <w:rPr>
          <w:rFonts w:ascii="Calibri" w:hAnsi="Calibri" w:cs="Calibri"/>
        </w:rPr>
        <w:t>‘</w:t>
      </w:r>
      <w:r w:rsidRPr="005E1E11">
        <w:rPr>
          <w:rFonts w:ascii="Calibri" w:hAnsi="Calibri" w:cs="Calibri"/>
        </w:rPr>
        <w:t>hazard</w:t>
      </w:r>
      <w:r w:rsidR="00212BFC">
        <w:rPr>
          <w:rFonts w:ascii="Calibri" w:hAnsi="Calibri" w:cs="Calibri"/>
        </w:rPr>
        <w:t>’</w:t>
      </w:r>
      <w:r w:rsidRPr="005E1E11">
        <w:rPr>
          <w:rFonts w:ascii="Calibri" w:hAnsi="Calibri" w:cs="Calibri"/>
        </w:rPr>
        <w:t xml:space="preserve"> to </w:t>
      </w:r>
      <w:r w:rsidR="00212BFC">
        <w:rPr>
          <w:rFonts w:ascii="Calibri" w:hAnsi="Calibri" w:cs="Calibri"/>
        </w:rPr>
        <w:t>‘</w:t>
      </w:r>
      <w:r w:rsidRPr="005E1E11">
        <w:rPr>
          <w:rFonts w:ascii="Calibri" w:hAnsi="Calibri" w:cs="Calibri"/>
        </w:rPr>
        <w:t>control requirement</w:t>
      </w:r>
      <w:r w:rsidR="00212BFC">
        <w:rPr>
          <w:rFonts w:ascii="Calibri" w:hAnsi="Calibri" w:cs="Calibri"/>
        </w:rPr>
        <w:t>’</w:t>
      </w:r>
      <w:r w:rsidRPr="005E1E11">
        <w:rPr>
          <w:rFonts w:ascii="Calibri" w:hAnsi="Calibri" w:cs="Calibri"/>
        </w:rPr>
        <w:t>.</w:t>
      </w:r>
    </w:p>
    <w:p w14:paraId="226C1847" w14:textId="77777777" w:rsidR="005E1E11" w:rsidRDefault="005E1E11" w:rsidP="007B0A46">
      <w:pPr>
        <w:spacing w:line="312" w:lineRule="auto"/>
        <w:ind w:left="142"/>
        <w:jc w:val="both"/>
        <w:rPr>
          <w:rFonts w:ascii="Calibri" w:hAnsi="Calibri" w:cs="Calibri"/>
        </w:rPr>
      </w:pPr>
      <w:r w:rsidRPr="005E1E11">
        <w:rPr>
          <w:rFonts w:ascii="Calibri" w:hAnsi="Calibri" w:cs="Calibri"/>
        </w:rPr>
        <w:t>Without explicit design intent, commissioning cannot objectively verify that the installed system meets the required performance standard.</w:t>
      </w:r>
    </w:p>
    <w:p w14:paraId="64BFDE0A" w14:textId="77777777" w:rsidR="009B21C6" w:rsidRPr="005E1E11" w:rsidRDefault="009B21C6" w:rsidP="009B21C6">
      <w:pPr>
        <w:spacing w:line="312" w:lineRule="auto"/>
        <w:jc w:val="both"/>
        <w:rPr>
          <w:rFonts w:ascii="Calibri" w:hAnsi="Calibri" w:cs="Calibri"/>
        </w:rPr>
      </w:pPr>
    </w:p>
    <w:p w14:paraId="27B928BB" w14:textId="2FB6132E" w:rsidR="005E1E11" w:rsidRPr="00B669C0" w:rsidRDefault="00212BFC" w:rsidP="009B21C6">
      <w:pPr>
        <w:pStyle w:val="Heading2"/>
        <w:spacing w:after="160" w:line="312" w:lineRule="auto"/>
        <w:jc w:val="both"/>
      </w:pPr>
      <w:bookmarkStart w:id="7" w:name="_Toc231462479"/>
      <w:r w:rsidRPr="00B669C0">
        <w:t>2</w:t>
      </w:r>
      <w:r w:rsidR="005E1E11" w:rsidRPr="00B669C0">
        <w:t>.4 Qualification Misinterpreted as Competence</w:t>
      </w:r>
      <w:bookmarkEnd w:id="7"/>
    </w:p>
    <w:p w14:paraId="055C48FB" w14:textId="77777777" w:rsidR="005E1E11" w:rsidRPr="005E1E11" w:rsidRDefault="005E1E11" w:rsidP="007B0A46">
      <w:pPr>
        <w:spacing w:line="312" w:lineRule="auto"/>
        <w:ind w:left="142"/>
        <w:jc w:val="both"/>
        <w:rPr>
          <w:rFonts w:ascii="Calibri" w:hAnsi="Calibri" w:cs="Calibri"/>
        </w:rPr>
      </w:pPr>
      <w:r w:rsidRPr="005E1E11">
        <w:rPr>
          <w:rFonts w:ascii="Calibri" w:hAnsi="Calibri" w:cs="Calibri"/>
        </w:rPr>
        <w:t>Another common misunderstanding lies in the assumption that possession of a recognised qualification automatically equates to commissioning competence.</w:t>
      </w:r>
    </w:p>
    <w:p w14:paraId="40687DC1" w14:textId="3F870B13" w:rsidR="005E1E11" w:rsidRPr="005E1E11" w:rsidRDefault="005E1E11" w:rsidP="007B0A46">
      <w:pPr>
        <w:spacing w:line="312" w:lineRule="auto"/>
        <w:ind w:left="142"/>
        <w:jc w:val="both"/>
        <w:rPr>
          <w:rFonts w:ascii="Calibri" w:hAnsi="Calibri" w:cs="Calibri"/>
        </w:rPr>
      </w:pPr>
      <w:r w:rsidRPr="005E1E11">
        <w:rPr>
          <w:rFonts w:ascii="Calibri" w:hAnsi="Calibri" w:cs="Calibri"/>
        </w:rPr>
        <w:t xml:space="preserve">Qualifications such as BOHS </w:t>
      </w:r>
      <w:r w:rsidR="00212BFC">
        <w:rPr>
          <w:rFonts w:ascii="Calibri" w:hAnsi="Calibri" w:cs="Calibri"/>
        </w:rPr>
        <w:t xml:space="preserve">P602, </w:t>
      </w:r>
      <w:r w:rsidRPr="005E1E11">
        <w:rPr>
          <w:rFonts w:ascii="Calibri" w:hAnsi="Calibri" w:cs="Calibri"/>
        </w:rPr>
        <w:t>P60</w:t>
      </w:r>
      <w:r w:rsidR="00212BFC">
        <w:rPr>
          <w:rFonts w:ascii="Calibri" w:hAnsi="Calibri" w:cs="Calibri"/>
        </w:rPr>
        <w:t>4</w:t>
      </w:r>
      <w:r w:rsidRPr="005E1E11">
        <w:rPr>
          <w:rFonts w:ascii="Calibri" w:hAnsi="Calibri" w:cs="Calibri"/>
        </w:rPr>
        <w:t xml:space="preserve"> </w:t>
      </w:r>
      <w:r w:rsidR="00212BFC">
        <w:rPr>
          <w:rFonts w:ascii="Calibri" w:hAnsi="Calibri" w:cs="Calibri"/>
        </w:rPr>
        <w:t xml:space="preserve">etc can </w:t>
      </w:r>
      <w:r w:rsidRPr="005E1E11">
        <w:rPr>
          <w:rFonts w:ascii="Calibri" w:hAnsi="Calibri" w:cs="Calibri"/>
        </w:rPr>
        <w:t>demonstrate knowledge of principles and assessment processes.</w:t>
      </w:r>
      <w:r w:rsidR="002456E3">
        <w:rPr>
          <w:rFonts w:ascii="Calibri" w:hAnsi="Calibri" w:cs="Calibri"/>
        </w:rPr>
        <w:t xml:space="preserve"> </w:t>
      </w:r>
      <w:r w:rsidRPr="005E1E11">
        <w:rPr>
          <w:rFonts w:ascii="Calibri" w:hAnsi="Calibri" w:cs="Calibri"/>
        </w:rPr>
        <w:t xml:space="preserve"> They do not, on their own, confirm:</w:t>
      </w:r>
    </w:p>
    <w:p w14:paraId="03AD3447" w14:textId="40DAF961" w:rsidR="005E1E11" w:rsidRPr="00212BFC" w:rsidRDefault="005E1E11" w:rsidP="009B21C6">
      <w:pPr>
        <w:pStyle w:val="ListParagraph"/>
        <w:numPr>
          <w:ilvl w:val="0"/>
          <w:numId w:val="4"/>
        </w:numPr>
        <w:spacing w:line="312" w:lineRule="auto"/>
        <w:jc w:val="both"/>
        <w:rPr>
          <w:rFonts w:ascii="Calibri" w:hAnsi="Calibri" w:cs="Calibri"/>
        </w:rPr>
      </w:pPr>
      <w:r w:rsidRPr="00212BFC">
        <w:rPr>
          <w:rFonts w:ascii="Calibri" w:hAnsi="Calibri" w:cs="Calibri"/>
        </w:rPr>
        <w:lastRenderedPageBreak/>
        <w:t xml:space="preserve">Depth of experience in complex </w:t>
      </w:r>
      <w:r w:rsidR="002456E3">
        <w:rPr>
          <w:rFonts w:ascii="Calibri" w:hAnsi="Calibri" w:cs="Calibri"/>
        </w:rPr>
        <w:t xml:space="preserve">LEV </w:t>
      </w:r>
      <w:r w:rsidRPr="00212BFC">
        <w:rPr>
          <w:rFonts w:ascii="Calibri" w:hAnsi="Calibri" w:cs="Calibri"/>
        </w:rPr>
        <w:t xml:space="preserve">systems </w:t>
      </w:r>
    </w:p>
    <w:p w14:paraId="26BB2F22" w14:textId="38086CBA" w:rsidR="005E1E11" w:rsidRPr="00212BFC" w:rsidRDefault="005E1E11" w:rsidP="009B21C6">
      <w:pPr>
        <w:pStyle w:val="ListParagraph"/>
        <w:numPr>
          <w:ilvl w:val="0"/>
          <w:numId w:val="4"/>
        </w:numPr>
        <w:spacing w:line="312" w:lineRule="auto"/>
        <w:jc w:val="both"/>
        <w:rPr>
          <w:rFonts w:ascii="Calibri" w:hAnsi="Calibri" w:cs="Calibri"/>
        </w:rPr>
      </w:pPr>
      <w:r w:rsidRPr="00212BFC">
        <w:rPr>
          <w:rFonts w:ascii="Calibri" w:hAnsi="Calibri" w:cs="Calibri"/>
        </w:rPr>
        <w:t xml:space="preserve">Ability to interpret contaminant behaviour </w:t>
      </w:r>
    </w:p>
    <w:p w14:paraId="760BECB0" w14:textId="4C5DC9D8" w:rsidR="005E1E11" w:rsidRPr="00212BFC" w:rsidRDefault="005E1E11" w:rsidP="009B21C6">
      <w:pPr>
        <w:pStyle w:val="ListParagraph"/>
        <w:numPr>
          <w:ilvl w:val="0"/>
          <w:numId w:val="4"/>
        </w:numPr>
        <w:spacing w:line="312" w:lineRule="auto"/>
        <w:jc w:val="both"/>
        <w:rPr>
          <w:rFonts w:ascii="Calibri" w:hAnsi="Calibri" w:cs="Calibri"/>
        </w:rPr>
      </w:pPr>
      <w:r w:rsidRPr="00212BFC">
        <w:rPr>
          <w:rFonts w:ascii="Calibri" w:hAnsi="Calibri" w:cs="Calibri"/>
        </w:rPr>
        <w:t xml:space="preserve">Judgement in resolving design-performance gaps </w:t>
      </w:r>
    </w:p>
    <w:p w14:paraId="428404C3" w14:textId="4F7B047C" w:rsidR="005E1E11" w:rsidRPr="00212BFC" w:rsidRDefault="005E1E11" w:rsidP="009B21C6">
      <w:pPr>
        <w:pStyle w:val="ListParagraph"/>
        <w:numPr>
          <w:ilvl w:val="0"/>
          <w:numId w:val="4"/>
        </w:numPr>
        <w:spacing w:line="312" w:lineRule="auto"/>
        <w:jc w:val="both"/>
        <w:rPr>
          <w:rFonts w:ascii="Calibri" w:hAnsi="Calibri" w:cs="Calibri"/>
        </w:rPr>
      </w:pPr>
      <w:r w:rsidRPr="00212BFC">
        <w:rPr>
          <w:rFonts w:ascii="Calibri" w:hAnsi="Calibri" w:cs="Calibri"/>
        </w:rPr>
        <w:t xml:space="preserve">Capability to define defensible benchmarks </w:t>
      </w:r>
    </w:p>
    <w:p w14:paraId="5DB78B2C" w14:textId="774AB563" w:rsidR="005E1E11" w:rsidRPr="005E1E11" w:rsidRDefault="005E1E11" w:rsidP="007B0A46">
      <w:pPr>
        <w:spacing w:line="312" w:lineRule="auto"/>
        <w:ind w:left="142"/>
        <w:jc w:val="both"/>
        <w:rPr>
          <w:rFonts w:ascii="Calibri" w:hAnsi="Calibri" w:cs="Calibri"/>
        </w:rPr>
      </w:pPr>
      <w:r w:rsidRPr="005E1E11">
        <w:rPr>
          <w:rFonts w:ascii="Calibri" w:hAnsi="Calibri" w:cs="Calibri"/>
        </w:rPr>
        <w:t>Competence is demonstrated through applied knowledge, experience, technical judgement and the ability to produce coherent, defensible evidence.</w:t>
      </w:r>
    </w:p>
    <w:p w14:paraId="65630B1F" w14:textId="77777777" w:rsidR="005E1E11" w:rsidRDefault="005E1E11" w:rsidP="007B0A46">
      <w:pPr>
        <w:spacing w:line="312" w:lineRule="auto"/>
        <w:ind w:left="142"/>
        <w:jc w:val="both"/>
        <w:rPr>
          <w:rFonts w:ascii="Calibri" w:hAnsi="Calibri" w:cs="Calibri"/>
        </w:rPr>
      </w:pPr>
      <w:r w:rsidRPr="005E1E11">
        <w:rPr>
          <w:rFonts w:ascii="Calibri" w:hAnsi="Calibri" w:cs="Calibri"/>
        </w:rPr>
        <w:t>The Duty Holder must ensure that those appointed to commission systems are competent in this broader sense.</w:t>
      </w:r>
    </w:p>
    <w:p w14:paraId="34CB1952" w14:textId="77777777" w:rsidR="009B21C6" w:rsidRPr="005E1E11" w:rsidRDefault="009B21C6" w:rsidP="009B21C6">
      <w:pPr>
        <w:spacing w:line="312" w:lineRule="auto"/>
        <w:jc w:val="both"/>
        <w:rPr>
          <w:rFonts w:ascii="Calibri" w:hAnsi="Calibri" w:cs="Calibri"/>
        </w:rPr>
      </w:pPr>
    </w:p>
    <w:p w14:paraId="7B479929" w14:textId="109E2445" w:rsidR="005E1E11" w:rsidRPr="00B669C0" w:rsidRDefault="002456E3" w:rsidP="009B21C6">
      <w:pPr>
        <w:pStyle w:val="Heading2"/>
        <w:spacing w:after="160" w:line="312" w:lineRule="auto"/>
        <w:jc w:val="both"/>
      </w:pPr>
      <w:bookmarkStart w:id="8" w:name="_Toc231462480"/>
      <w:r w:rsidRPr="00B669C0">
        <w:t>2</w:t>
      </w:r>
      <w:r w:rsidR="005E1E11" w:rsidRPr="00B669C0">
        <w:t>.5 Commissioning Without Governance Context</w:t>
      </w:r>
      <w:bookmarkEnd w:id="8"/>
    </w:p>
    <w:p w14:paraId="04CBBEE5" w14:textId="6891B897" w:rsidR="005E1E11" w:rsidRPr="005E1E11" w:rsidRDefault="005E1E11" w:rsidP="009B21C6">
      <w:pPr>
        <w:spacing w:line="312" w:lineRule="auto"/>
        <w:jc w:val="both"/>
        <w:rPr>
          <w:rFonts w:ascii="Calibri" w:hAnsi="Calibri" w:cs="Calibri"/>
        </w:rPr>
      </w:pPr>
      <w:r w:rsidRPr="005E1E11">
        <w:rPr>
          <w:rFonts w:ascii="Calibri" w:hAnsi="Calibri" w:cs="Calibri"/>
        </w:rPr>
        <w:t xml:space="preserve">Commissioning decisions are often made at project level without explicit consideration of governance implications. </w:t>
      </w:r>
      <w:r w:rsidR="004A777E">
        <w:rPr>
          <w:rFonts w:ascii="Calibri" w:hAnsi="Calibri" w:cs="Calibri"/>
        </w:rPr>
        <w:t xml:space="preserve"> </w:t>
      </w:r>
      <w:r w:rsidRPr="005E1E11">
        <w:rPr>
          <w:rFonts w:ascii="Calibri" w:hAnsi="Calibri" w:cs="Calibri"/>
        </w:rPr>
        <w:t>Yet commissioning documentation may become critical evidence in the event of:</w:t>
      </w:r>
    </w:p>
    <w:p w14:paraId="17671A8E" w14:textId="3F81FDD3" w:rsidR="005E1E11" w:rsidRPr="004A777E" w:rsidRDefault="005E1E11" w:rsidP="009B21C6">
      <w:pPr>
        <w:pStyle w:val="ListParagraph"/>
        <w:numPr>
          <w:ilvl w:val="0"/>
          <w:numId w:val="5"/>
        </w:numPr>
        <w:spacing w:line="312" w:lineRule="auto"/>
        <w:jc w:val="both"/>
        <w:rPr>
          <w:rFonts w:ascii="Calibri" w:hAnsi="Calibri" w:cs="Calibri"/>
        </w:rPr>
      </w:pPr>
      <w:r w:rsidRPr="004A777E">
        <w:rPr>
          <w:rFonts w:ascii="Calibri" w:hAnsi="Calibri" w:cs="Calibri"/>
        </w:rPr>
        <w:t xml:space="preserve">Regulatory inspection </w:t>
      </w:r>
      <w:r w:rsidR="004A777E">
        <w:rPr>
          <w:rFonts w:ascii="Calibri" w:hAnsi="Calibri" w:cs="Calibri"/>
        </w:rPr>
        <w:t>and/or interventions</w:t>
      </w:r>
    </w:p>
    <w:p w14:paraId="69727860" w14:textId="67F05DCB" w:rsidR="005E1E11" w:rsidRPr="004A777E" w:rsidRDefault="005E1E11" w:rsidP="009B21C6">
      <w:pPr>
        <w:pStyle w:val="ListParagraph"/>
        <w:numPr>
          <w:ilvl w:val="0"/>
          <w:numId w:val="5"/>
        </w:numPr>
        <w:spacing w:line="312" w:lineRule="auto"/>
        <w:jc w:val="both"/>
        <w:rPr>
          <w:rFonts w:ascii="Calibri" w:hAnsi="Calibri" w:cs="Calibri"/>
        </w:rPr>
      </w:pPr>
      <w:r w:rsidRPr="004A777E">
        <w:rPr>
          <w:rFonts w:ascii="Calibri" w:hAnsi="Calibri" w:cs="Calibri"/>
        </w:rPr>
        <w:t xml:space="preserve">Civil litigation </w:t>
      </w:r>
    </w:p>
    <w:p w14:paraId="6780DCF4" w14:textId="5DE22F77" w:rsidR="005E1E11" w:rsidRPr="004A777E" w:rsidRDefault="005E1E11" w:rsidP="009B21C6">
      <w:pPr>
        <w:pStyle w:val="ListParagraph"/>
        <w:numPr>
          <w:ilvl w:val="0"/>
          <w:numId w:val="5"/>
        </w:numPr>
        <w:spacing w:line="312" w:lineRule="auto"/>
        <w:jc w:val="both"/>
        <w:rPr>
          <w:rFonts w:ascii="Calibri" w:hAnsi="Calibri" w:cs="Calibri"/>
        </w:rPr>
      </w:pPr>
      <w:r w:rsidRPr="004A777E">
        <w:rPr>
          <w:rFonts w:ascii="Calibri" w:hAnsi="Calibri" w:cs="Calibri"/>
        </w:rPr>
        <w:t xml:space="preserve">Occupational illness claims </w:t>
      </w:r>
    </w:p>
    <w:p w14:paraId="55A973ED" w14:textId="4C868404" w:rsidR="005E1E11" w:rsidRPr="004A777E" w:rsidRDefault="005E1E11" w:rsidP="009B21C6">
      <w:pPr>
        <w:pStyle w:val="ListParagraph"/>
        <w:numPr>
          <w:ilvl w:val="0"/>
          <w:numId w:val="5"/>
        </w:numPr>
        <w:spacing w:line="312" w:lineRule="auto"/>
        <w:jc w:val="both"/>
        <w:rPr>
          <w:rFonts w:ascii="Calibri" w:hAnsi="Calibri" w:cs="Calibri"/>
        </w:rPr>
      </w:pPr>
      <w:r w:rsidRPr="004A777E">
        <w:rPr>
          <w:rFonts w:ascii="Calibri" w:hAnsi="Calibri" w:cs="Calibri"/>
        </w:rPr>
        <w:t xml:space="preserve">Corporate due diligence </w:t>
      </w:r>
    </w:p>
    <w:p w14:paraId="60D12B87" w14:textId="77777777" w:rsidR="005E1E11" w:rsidRPr="005E1E11" w:rsidRDefault="005E1E11" w:rsidP="007B0A46">
      <w:pPr>
        <w:spacing w:line="312" w:lineRule="auto"/>
        <w:ind w:left="142"/>
        <w:jc w:val="both"/>
        <w:rPr>
          <w:rFonts w:ascii="Calibri" w:hAnsi="Calibri" w:cs="Calibri"/>
        </w:rPr>
      </w:pPr>
      <w:r w:rsidRPr="005E1E11">
        <w:rPr>
          <w:rFonts w:ascii="Calibri" w:hAnsi="Calibri" w:cs="Calibri"/>
        </w:rPr>
        <w:t>Where commissioning records lack clarity regarding assumptions, measurement uncertainty, limitations, or deviations from design intent, their reliability under scrutiny can be compromised.</w:t>
      </w:r>
    </w:p>
    <w:p w14:paraId="2CDBA5D8" w14:textId="4F4759BA" w:rsidR="004A777E" w:rsidRDefault="005E1E11" w:rsidP="007B0A46">
      <w:pPr>
        <w:spacing w:line="312" w:lineRule="auto"/>
        <w:ind w:left="142"/>
        <w:jc w:val="both"/>
        <w:rPr>
          <w:rFonts w:ascii="Calibri" w:hAnsi="Calibri" w:cs="Calibri"/>
        </w:rPr>
      </w:pPr>
      <w:r w:rsidRPr="005E1E11">
        <w:rPr>
          <w:rFonts w:ascii="Calibri" w:hAnsi="Calibri" w:cs="Calibri"/>
        </w:rPr>
        <w:t>Commissioning must therefore be structured not only to satisfy technical requirements but to support governance-level assurance.</w:t>
      </w:r>
    </w:p>
    <w:p w14:paraId="577C3F4A" w14:textId="77777777" w:rsidR="009B21C6" w:rsidRDefault="009B21C6" w:rsidP="009B21C6">
      <w:pPr>
        <w:spacing w:line="312" w:lineRule="auto"/>
        <w:jc w:val="both"/>
        <w:rPr>
          <w:rFonts w:ascii="Calibri" w:hAnsi="Calibri" w:cs="Calibri"/>
        </w:rPr>
      </w:pPr>
    </w:p>
    <w:p w14:paraId="732A0621" w14:textId="26A06583" w:rsidR="005E1E11" w:rsidRPr="00B669C0" w:rsidRDefault="002456E3" w:rsidP="009B21C6">
      <w:pPr>
        <w:pStyle w:val="Heading2"/>
        <w:spacing w:after="160" w:line="312" w:lineRule="auto"/>
        <w:jc w:val="both"/>
      </w:pPr>
      <w:bookmarkStart w:id="9" w:name="_Toc231462481"/>
      <w:r w:rsidRPr="00B669C0">
        <w:t>2</w:t>
      </w:r>
      <w:r w:rsidR="005E1E11" w:rsidRPr="00B669C0">
        <w:t>.6 The Resulting Risk</w:t>
      </w:r>
      <w:bookmarkEnd w:id="9"/>
    </w:p>
    <w:p w14:paraId="2E3A0F1C" w14:textId="77777777" w:rsidR="005E1E11" w:rsidRPr="005E1E11" w:rsidRDefault="005E1E11" w:rsidP="007B0A46">
      <w:pPr>
        <w:spacing w:line="312" w:lineRule="auto"/>
        <w:ind w:left="142"/>
        <w:jc w:val="both"/>
        <w:rPr>
          <w:rFonts w:ascii="Calibri" w:hAnsi="Calibri" w:cs="Calibri"/>
        </w:rPr>
      </w:pPr>
      <w:r w:rsidRPr="005E1E11">
        <w:rPr>
          <w:rFonts w:ascii="Calibri" w:hAnsi="Calibri" w:cs="Calibri"/>
        </w:rPr>
        <w:t>When commissioning is misunderstood:</w:t>
      </w:r>
    </w:p>
    <w:p w14:paraId="0462670A" w14:textId="3BAB8911" w:rsidR="005E1E11" w:rsidRPr="004A777E" w:rsidRDefault="005E1E11" w:rsidP="009B21C6">
      <w:pPr>
        <w:pStyle w:val="ListParagraph"/>
        <w:numPr>
          <w:ilvl w:val="0"/>
          <w:numId w:val="6"/>
        </w:numPr>
        <w:spacing w:line="312" w:lineRule="auto"/>
        <w:jc w:val="both"/>
        <w:rPr>
          <w:rFonts w:ascii="Calibri" w:hAnsi="Calibri" w:cs="Calibri"/>
        </w:rPr>
      </w:pPr>
      <w:r w:rsidRPr="004A777E">
        <w:rPr>
          <w:rFonts w:ascii="Calibri" w:hAnsi="Calibri" w:cs="Calibri"/>
        </w:rPr>
        <w:t xml:space="preserve">Systems may operate for years without verified capability. </w:t>
      </w:r>
    </w:p>
    <w:p w14:paraId="4E179125" w14:textId="6E0A4535" w:rsidR="005E1E11" w:rsidRPr="004A777E" w:rsidRDefault="005E1E11" w:rsidP="009B21C6">
      <w:pPr>
        <w:pStyle w:val="ListParagraph"/>
        <w:numPr>
          <w:ilvl w:val="0"/>
          <w:numId w:val="6"/>
        </w:numPr>
        <w:spacing w:line="312" w:lineRule="auto"/>
        <w:jc w:val="both"/>
        <w:rPr>
          <w:rFonts w:ascii="Calibri" w:hAnsi="Calibri" w:cs="Calibri"/>
        </w:rPr>
      </w:pPr>
      <w:r w:rsidRPr="004A777E">
        <w:rPr>
          <w:rFonts w:ascii="Calibri" w:hAnsi="Calibri" w:cs="Calibri"/>
        </w:rPr>
        <w:t xml:space="preserve">TExT results may provide false reassurance. </w:t>
      </w:r>
    </w:p>
    <w:p w14:paraId="79282037" w14:textId="02F71A76" w:rsidR="005E1E11" w:rsidRPr="004A777E" w:rsidRDefault="005E1E11" w:rsidP="009B21C6">
      <w:pPr>
        <w:pStyle w:val="ListParagraph"/>
        <w:numPr>
          <w:ilvl w:val="0"/>
          <w:numId w:val="6"/>
        </w:numPr>
        <w:spacing w:line="312" w:lineRule="auto"/>
        <w:jc w:val="both"/>
        <w:rPr>
          <w:rFonts w:ascii="Calibri" w:hAnsi="Calibri" w:cs="Calibri"/>
        </w:rPr>
      </w:pPr>
      <w:r w:rsidRPr="004A777E">
        <w:rPr>
          <w:rFonts w:ascii="Calibri" w:hAnsi="Calibri" w:cs="Calibri"/>
        </w:rPr>
        <w:t xml:space="preserve">Exposure may be inadequately controlled without detection. </w:t>
      </w:r>
    </w:p>
    <w:p w14:paraId="1368CDC7" w14:textId="21C5100C" w:rsidR="005E1E11" w:rsidRPr="004A777E" w:rsidRDefault="005E1E11" w:rsidP="009B21C6">
      <w:pPr>
        <w:pStyle w:val="ListParagraph"/>
        <w:numPr>
          <w:ilvl w:val="0"/>
          <w:numId w:val="6"/>
        </w:numPr>
        <w:spacing w:line="312" w:lineRule="auto"/>
        <w:jc w:val="both"/>
        <w:rPr>
          <w:rFonts w:ascii="Calibri" w:hAnsi="Calibri" w:cs="Calibri"/>
        </w:rPr>
      </w:pPr>
      <w:r w:rsidRPr="004A777E">
        <w:rPr>
          <w:rFonts w:ascii="Calibri" w:hAnsi="Calibri" w:cs="Calibri"/>
        </w:rPr>
        <w:t xml:space="preserve">Duty Holders may face difficulty demonstrating compliance. </w:t>
      </w:r>
    </w:p>
    <w:p w14:paraId="59081CB8" w14:textId="261450C2" w:rsidR="005E1E11" w:rsidRPr="005E1E11" w:rsidRDefault="005E1E11" w:rsidP="007B0A46">
      <w:pPr>
        <w:spacing w:line="312" w:lineRule="auto"/>
        <w:ind w:left="142"/>
        <w:jc w:val="both"/>
        <w:rPr>
          <w:rFonts w:ascii="Calibri" w:hAnsi="Calibri" w:cs="Calibri"/>
        </w:rPr>
      </w:pPr>
      <w:r w:rsidRPr="005E1E11">
        <w:rPr>
          <w:rFonts w:ascii="Calibri" w:hAnsi="Calibri" w:cs="Calibri"/>
        </w:rPr>
        <w:t>The issue is not procedural compliance alone.</w:t>
      </w:r>
      <w:r w:rsidR="00AE0A5F">
        <w:rPr>
          <w:rFonts w:ascii="Calibri" w:hAnsi="Calibri" w:cs="Calibri"/>
        </w:rPr>
        <w:t xml:space="preserve">  </w:t>
      </w:r>
      <w:r w:rsidRPr="005E1E11">
        <w:rPr>
          <w:rFonts w:ascii="Calibri" w:hAnsi="Calibri" w:cs="Calibri"/>
        </w:rPr>
        <w:t>It is evidential integrity.</w:t>
      </w:r>
    </w:p>
    <w:p w14:paraId="441E5E42" w14:textId="4F303727" w:rsidR="005E1E11" w:rsidRPr="005E1E11" w:rsidRDefault="005E1E11" w:rsidP="007B0A46">
      <w:pPr>
        <w:spacing w:line="312" w:lineRule="auto"/>
        <w:ind w:left="142"/>
        <w:jc w:val="both"/>
        <w:rPr>
          <w:rFonts w:ascii="Calibri" w:hAnsi="Calibri" w:cs="Calibri"/>
        </w:rPr>
      </w:pPr>
      <w:r w:rsidRPr="005E1E11">
        <w:rPr>
          <w:rFonts w:ascii="Calibri" w:hAnsi="Calibri" w:cs="Calibri"/>
        </w:rPr>
        <w:lastRenderedPageBreak/>
        <w:t>Reframing commissioning as the establishment of defensible performance — rather than completion of installation — is essential to addressing this gap.</w:t>
      </w:r>
    </w:p>
    <w:p w14:paraId="0163A080" w14:textId="5F67A3C1" w:rsidR="004A777E" w:rsidRDefault="005E1E11" w:rsidP="00377AF2">
      <w:pPr>
        <w:jc w:val="both"/>
        <w:rPr>
          <w:rFonts w:ascii="Calibri" w:hAnsi="Calibri" w:cs="Calibri"/>
        </w:rPr>
      </w:pPr>
      <w:r w:rsidRPr="005E1E11">
        <w:rPr>
          <w:rFonts w:ascii="Calibri" w:hAnsi="Calibri" w:cs="Calibri"/>
        </w:rPr>
        <w:t> </w:t>
      </w:r>
    </w:p>
    <w:p w14:paraId="4D602CA9" w14:textId="2694E245" w:rsidR="005E1E11" w:rsidRPr="00B669C0" w:rsidRDefault="005E1E11" w:rsidP="00377AF2">
      <w:pPr>
        <w:pStyle w:val="Heading1"/>
        <w:jc w:val="both"/>
      </w:pPr>
      <w:bookmarkStart w:id="10" w:name="_Toc231462482"/>
      <w:r w:rsidRPr="00B669C0">
        <w:t xml:space="preserve">Section </w:t>
      </w:r>
      <w:r w:rsidR="003E258F" w:rsidRPr="00B669C0">
        <w:t>3</w:t>
      </w:r>
      <w:r w:rsidR="00AE0A5F">
        <w:t>:</w:t>
      </w:r>
      <w:r w:rsidRPr="00B669C0">
        <w:t xml:space="preserve"> Commissioning vs Testing</w:t>
      </w:r>
      <w:bookmarkEnd w:id="10"/>
    </w:p>
    <w:p w14:paraId="7D9E3A17" w14:textId="77777777" w:rsidR="005E1E11" w:rsidRPr="00B669C0" w:rsidRDefault="005E1E11" w:rsidP="00AE0A5F">
      <w:pPr>
        <w:pStyle w:val="Heading2"/>
        <w:spacing w:after="160" w:line="26" w:lineRule="atLeast"/>
        <w:jc w:val="both"/>
      </w:pPr>
      <w:bookmarkStart w:id="11" w:name="_Toc231462483"/>
      <w:r w:rsidRPr="00B669C0">
        <w:t>Capability, Condition and Evidential Integrity</w:t>
      </w:r>
      <w:bookmarkEnd w:id="11"/>
    </w:p>
    <w:p w14:paraId="171B4A76" w14:textId="65742A9B" w:rsidR="005E1E11" w:rsidRPr="005E1E11" w:rsidRDefault="005E1E11" w:rsidP="007B0A46">
      <w:pPr>
        <w:spacing w:line="312" w:lineRule="auto"/>
        <w:ind w:left="142"/>
        <w:jc w:val="both"/>
        <w:rPr>
          <w:rFonts w:ascii="Calibri" w:hAnsi="Calibri" w:cs="Calibri"/>
        </w:rPr>
      </w:pPr>
      <w:r w:rsidRPr="005E1E11">
        <w:rPr>
          <w:rFonts w:ascii="Calibri" w:hAnsi="Calibri" w:cs="Calibri"/>
        </w:rPr>
        <w:t>A clear technical distinction between commissioning and Thorough Examination and Test (TExT) is essential if LEV systems are to be considered defensible under COSHH.</w:t>
      </w:r>
    </w:p>
    <w:p w14:paraId="0D044745" w14:textId="0857D720" w:rsidR="005E1E11" w:rsidRDefault="005E1E11" w:rsidP="007B0A46">
      <w:pPr>
        <w:spacing w:line="312" w:lineRule="auto"/>
        <w:ind w:left="142"/>
        <w:jc w:val="both"/>
        <w:rPr>
          <w:rFonts w:ascii="Calibri" w:hAnsi="Calibri" w:cs="Calibri"/>
        </w:rPr>
      </w:pPr>
      <w:r w:rsidRPr="005E1E11">
        <w:rPr>
          <w:rFonts w:ascii="Calibri" w:hAnsi="Calibri" w:cs="Calibri"/>
        </w:rPr>
        <w:t>Confusion between these stages remains one of the most persistent weaknesses in LEV governance.</w:t>
      </w:r>
    </w:p>
    <w:p w14:paraId="6980979F" w14:textId="57B7B081" w:rsidR="005608AB" w:rsidRPr="005E1E11" w:rsidRDefault="005608AB" w:rsidP="00AE0A5F">
      <w:pPr>
        <w:spacing w:line="312" w:lineRule="auto"/>
        <w:jc w:val="both"/>
        <w:rPr>
          <w:rFonts w:ascii="Calibri" w:hAnsi="Calibri" w:cs="Calibri"/>
        </w:rPr>
      </w:pPr>
    </w:p>
    <w:p w14:paraId="37054FB4" w14:textId="1F7060CE" w:rsidR="005E1E11" w:rsidRPr="00B669C0" w:rsidRDefault="003E258F" w:rsidP="00AE0A5F">
      <w:pPr>
        <w:pStyle w:val="Heading2"/>
        <w:spacing w:after="160" w:line="312" w:lineRule="auto"/>
        <w:jc w:val="both"/>
      </w:pPr>
      <w:bookmarkStart w:id="12" w:name="_Toc231462484"/>
      <w:r w:rsidRPr="00B669C0">
        <w:t>3</w:t>
      </w:r>
      <w:r w:rsidR="005E1E11" w:rsidRPr="00B669C0">
        <w:t>.1</w:t>
      </w:r>
      <w:r w:rsidR="005608AB" w:rsidRPr="00B669C0">
        <w:t xml:space="preserve"> </w:t>
      </w:r>
      <w:r w:rsidR="005E1E11" w:rsidRPr="00B669C0">
        <w:t>Purpose and Timing</w:t>
      </w:r>
      <w:bookmarkEnd w:id="12"/>
    </w:p>
    <w:p w14:paraId="61CF893A" w14:textId="3A7255E1" w:rsidR="005E1E11" w:rsidRPr="005E1E11" w:rsidRDefault="005E1E11" w:rsidP="007B0A46">
      <w:pPr>
        <w:spacing w:line="312" w:lineRule="auto"/>
        <w:ind w:left="142"/>
        <w:jc w:val="both"/>
        <w:rPr>
          <w:rFonts w:ascii="Calibri" w:hAnsi="Calibri" w:cs="Calibri"/>
        </w:rPr>
      </w:pPr>
      <w:r w:rsidRPr="005E1E11">
        <w:rPr>
          <w:rFonts w:ascii="Calibri" w:hAnsi="Calibri" w:cs="Calibri"/>
        </w:rPr>
        <w:t xml:space="preserve">Commissioning is undertaken at system handover, following installation or </w:t>
      </w:r>
      <w:r w:rsidR="005608AB">
        <w:rPr>
          <w:rFonts w:ascii="Calibri" w:hAnsi="Calibri" w:cs="Calibri"/>
        </w:rPr>
        <w:t xml:space="preserve">re-commissioning following </w:t>
      </w:r>
      <w:r w:rsidRPr="005E1E11">
        <w:rPr>
          <w:rFonts w:ascii="Calibri" w:hAnsi="Calibri" w:cs="Calibri"/>
        </w:rPr>
        <w:t xml:space="preserve">significant modification. </w:t>
      </w:r>
      <w:r w:rsidR="005608AB">
        <w:rPr>
          <w:rFonts w:ascii="Calibri" w:hAnsi="Calibri" w:cs="Calibri"/>
        </w:rPr>
        <w:t xml:space="preserve"> </w:t>
      </w:r>
      <w:r w:rsidRPr="005E1E11">
        <w:rPr>
          <w:rFonts w:ascii="Calibri" w:hAnsi="Calibri" w:cs="Calibri"/>
        </w:rPr>
        <w:t xml:space="preserve">Its purpose is to verify that the installed LEV system </w:t>
      </w:r>
      <w:proofErr w:type="gramStart"/>
      <w:r w:rsidRPr="005E1E11">
        <w:rPr>
          <w:rFonts w:ascii="Calibri" w:hAnsi="Calibri" w:cs="Calibri"/>
        </w:rPr>
        <w:t>is capable of achieving</w:t>
      </w:r>
      <w:proofErr w:type="gramEnd"/>
      <w:r w:rsidRPr="005E1E11">
        <w:rPr>
          <w:rFonts w:ascii="Calibri" w:hAnsi="Calibri" w:cs="Calibri"/>
        </w:rPr>
        <w:t xml:space="preserve"> the control performance defined at design stage.</w:t>
      </w:r>
    </w:p>
    <w:p w14:paraId="71D051EE" w14:textId="63FD3CEA" w:rsidR="005E1E11" w:rsidRPr="00EA70AF" w:rsidRDefault="005E1E11" w:rsidP="007B0A46">
      <w:pPr>
        <w:spacing w:line="312" w:lineRule="auto"/>
        <w:ind w:left="142"/>
        <w:jc w:val="both"/>
        <w:rPr>
          <w:rFonts w:ascii="Calibri" w:hAnsi="Calibri" w:cs="Calibri"/>
          <w:b/>
          <w:bCs/>
        </w:rPr>
      </w:pPr>
      <w:r w:rsidRPr="00EA70AF">
        <w:rPr>
          <w:rFonts w:ascii="Calibri" w:hAnsi="Calibri" w:cs="Calibri"/>
          <w:b/>
          <w:bCs/>
        </w:rPr>
        <w:t>It answers the question:</w:t>
      </w:r>
    </w:p>
    <w:p w14:paraId="5FE40BD3" w14:textId="77777777" w:rsidR="005E1E11" w:rsidRPr="00AE0A5F" w:rsidRDefault="005E1E11" w:rsidP="00AE0A5F">
      <w:pPr>
        <w:spacing w:line="312" w:lineRule="auto"/>
        <w:ind w:left="720"/>
        <w:jc w:val="both"/>
        <w:rPr>
          <w:rStyle w:val="SubtleEmphasis"/>
        </w:rPr>
      </w:pPr>
      <w:r w:rsidRPr="00AE0A5F">
        <w:rPr>
          <w:rStyle w:val="SubtleEmphasis"/>
        </w:rPr>
        <w:t>Is this system capable of controlling the identified hazard as intended?</w:t>
      </w:r>
    </w:p>
    <w:p w14:paraId="4AA67AF0" w14:textId="77777777" w:rsidR="005E1E11" w:rsidRPr="005E1E11" w:rsidRDefault="005E1E11" w:rsidP="007B0A46">
      <w:pPr>
        <w:spacing w:line="312" w:lineRule="auto"/>
        <w:ind w:left="142"/>
        <w:jc w:val="both"/>
        <w:rPr>
          <w:rFonts w:ascii="Calibri" w:hAnsi="Calibri" w:cs="Calibri"/>
        </w:rPr>
      </w:pPr>
      <w:r w:rsidRPr="005E1E11">
        <w:rPr>
          <w:rFonts w:ascii="Calibri" w:hAnsi="Calibri" w:cs="Calibri"/>
        </w:rPr>
        <w:t>TExT, conducted at statutory intervals (typically 14 months under COSHH Reg 9), evaluates the ongoing condition and functionality of the system.</w:t>
      </w:r>
    </w:p>
    <w:p w14:paraId="6FC7287E" w14:textId="77777777" w:rsidR="005E1E11" w:rsidRPr="00EA70AF" w:rsidRDefault="005E1E11" w:rsidP="007B0A46">
      <w:pPr>
        <w:spacing w:line="312" w:lineRule="auto"/>
        <w:ind w:left="142"/>
        <w:jc w:val="both"/>
        <w:rPr>
          <w:rFonts w:ascii="Calibri" w:hAnsi="Calibri" w:cs="Calibri"/>
          <w:b/>
          <w:bCs/>
        </w:rPr>
      </w:pPr>
      <w:r w:rsidRPr="00EA70AF">
        <w:rPr>
          <w:rFonts w:ascii="Calibri" w:hAnsi="Calibri" w:cs="Calibri"/>
          <w:b/>
          <w:bCs/>
        </w:rPr>
        <w:t>It answers the question:</w:t>
      </w:r>
    </w:p>
    <w:p w14:paraId="46696BC6" w14:textId="77777777" w:rsidR="005E1E11" w:rsidRPr="00AE0A5F" w:rsidRDefault="005E1E11" w:rsidP="00AE0A5F">
      <w:pPr>
        <w:spacing w:line="312" w:lineRule="auto"/>
        <w:ind w:left="720"/>
        <w:jc w:val="both"/>
        <w:rPr>
          <w:rStyle w:val="SubtleEmphasis"/>
        </w:rPr>
      </w:pPr>
      <w:r w:rsidRPr="00AE0A5F">
        <w:rPr>
          <w:rStyle w:val="SubtleEmphasis"/>
        </w:rPr>
        <w:t>Is this system still performing in line with its established benchmark?</w:t>
      </w:r>
    </w:p>
    <w:p w14:paraId="55586A76" w14:textId="28606877" w:rsidR="005E1E11" w:rsidRPr="005E1E11" w:rsidRDefault="005E1E11" w:rsidP="007B0A46">
      <w:pPr>
        <w:spacing w:line="312" w:lineRule="auto"/>
        <w:ind w:left="142"/>
        <w:jc w:val="both"/>
        <w:rPr>
          <w:rFonts w:ascii="Calibri" w:hAnsi="Calibri" w:cs="Calibri"/>
        </w:rPr>
      </w:pPr>
      <w:r w:rsidRPr="005E1E11">
        <w:rPr>
          <w:rFonts w:ascii="Calibri" w:hAnsi="Calibri" w:cs="Calibri"/>
        </w:rPr>
        <w:t>Commissioning establishes capability.</w:t>
      </w:r>
    </w:p>
    <w:p w14:paraId="5F002171" w14:textId="59EAC529" w:rsidR="00AE0A5F" w:rsidRDefault="005E1E11" w:rsidP="007B0A46">
      <w:pPr>
        <w:spacing w:line="312" w:lineRule="auto"/>
        <w:ind w:left="142"/>
        <w:jc w:val="both"/>
        <w:rPr>
          <w:rFonts w:ascii="Calibri" w:hAnsi="Calibri" w:cs="Calibri"/>
        </w:rPr>
      </w:pPr>
      <w:r w:rsidRPr="005E1E11">
        <w:rPr>
          <w:rFonts w:ascii="Calibri" w:hAnsi="Calibri" w:cs="Calibri"/>
        </w:rPr>
        <w:t>TExT confirms continued condition relative to that capability</w:t>
      </w:r>
      <w:r w:rsidR="00133446">
        <w:rPr>
          <w:rFonts w:ascii="Calibri" w:hAnsi="Calibri" w:cs="Calibri"/>
        </w:rPr>
        <w:t>.</w:t>
      </w:r>
    </w:p>
    <w:p w14:paraId="2AFECBAB" w14:textId="77777777" w:rsidR="00133446" w:rsidRPr="007B0A46" w:rsidRDefault="00133446" w:rsidP="007B0A46">
      <w:pPr>
        <w:spacing w:line="312" w:lineRule="auto"/>
        <w:ind w:left="142"/>
        <w:jc w:val="both"/>
        <w:rPr>
          <w:rFonts w:ascii="Calibri" w:hAnsi="Calibri" w:cs="Calibri"/>
        </w:rPr>
      </w:pPr>
    </w:p>
    <w:p w14:paraId="54A7EADB" w14:textId="00ABEF18" w:rsidR="005E1E11" w:rsidRPr="00B669C0" w:rsidRDefault="003E258F" w:rsidP="00AE0A5F">
      <w:pPr>
        <w:pStyle w:val="Heading2"/>
        <w:spacing w:after="160" w:line="312" w:lineRule="auto"/>
        <w:jc w:val="both"/>
      </w:pPr>
      <w:bookmarkStart w:id="13" w:name="_Toc231462485"/>
      <w:r w:rsidRPr="00B669C0">
        <w:t>3</w:t>
      </w:r>
      <w:r w:rsidR="005E1E11" w:rsidRPr="00B669C0">
        <w:t>.2 Establishing Design Reference</w:t>
      </w:r>
      <w:bookmarkEnd w:id="13"/>
    </w:p>
    <w:p w14:paraId="48E9C693" w14:textId="77777777" w:rsidR="005E1E11" w:rsidRPr="005E1E11" w:rsidRDefault="005E1E11" w:rsidP="007B0A46">
      <w:pPr>
        <w:spacing w:line="312" w:lineRule="auto"/>
        <w:ind w:left="142"/>
        <w:jc w:val="both"/>
        <w:rPr>
          <w:rFonts w:ascii="Calibri" w:hAnsi="Calibri" w:cs="Calibri"/>
        </w:rPr>
      </w:pPr>
      <w:r w:rsidRPr="005E1E11">
        <w:rPr>
          <w:rFonts w:ascii="Calibri" w:hAnsi="Calibri" w:cs="Calibri"/>
        </w:rPr>
        <w:t>Effective commissioning must begin with defined design intent, including:</w:t>
      </w:r>
    </w:p>
    <w:p w14:paraId="4B73C846" w14:textId="76455403" w:rsidR="005E1E11" w:rsidRPr="005608AB" w:rsidRDefault="005E1E11" w:rsidP="00AE0A5F">
      <w:pPr>
        <w:pStyle w:val="ListParagraph"/>
        <w:numPr>
          <w:ilvl w:val="0"/>
          <w:numId w:val="7"/>
        </w:numPr>
        <w:spacing w:line="312" w:lineRule="auto"/>
        <w:jc w:val="both"/>
        <w:rPr>
          <w:rFonts w:ascii="Calibri" w:hAnsi="Calibri" w:cs="Calibri"/>
        </w:rPr>
      </w:pPr>
      <w:r w:rsidRPr="005608AB">
        <w:rPr>
          <w:rFonts w:ascii="Calibri" w:hAnsi="Calibri" w:cs="Calibri"/>
        </w:rPr>
        <w:t xml:space="preserve">Nature and behaviour of the contaminant </w:t>
      </w:r>
    </w:p>
    <w:p w14:paraId="33D6FB39" w14:textId="71E5C3B3" w:rsidR="005E1E11" w:rsidRPr="005608AB" w:rsidRDefault="005E1E11" w:rsidP="00AE0A5F">
      <w:pPr>
        <w:pStyle w:val="ListParagraph"/>
        <w:numPr>
          <w:ilvl w:val="0"/>
          <w:numId w:val="7"/>
        </w:numPr>
        <w:spacing w:line="312" w:lineRule="auto"/>
        <w:jc w:val="both"/>
        <w:rPr>
          <w:rFonts w:ascii="Calibri" w:hAnsi="Calibri" w:cs="Calibri"/>
        </w:rPr>
      </w:pPr>
      <w:r w:rsidRPr="005608AB">
        <w:rPr>
          <w:rFonts w:ascii="Calibri" w:hAnsi="Calibri" w:cs="Calibri"/>
        </w:rPr>
        <w:t xml:space="preserve">Required </w:t>
      </w:r>
      <w:r w:rsidR="005608AB">
        <w:rPr>
          <w:rFonts w:ascii="Calibri" w:hAnsi="Calibri" w:cs="Calibri"/>
        </w:rPr>
        <w:t>control</w:t>
      </w:r>
      <w:r w:rsidRPr="005608AB">
        <w:rPr>
          <w:rFonts w:ascii="Calibri" w:hAnsi="Calibri" w:cs="Calibri"/>
        </w:rPr>
        <w:t xml:space="preserve"> mechanism (enclosure, capture hood, receiving hood etc.) </w:t>
      </w:r>
    </w:p>
    <w:p w14:paraId="597092B8" w14:textId="043B6F48" w:rsidR="005E1E11" w:rsidRPr="00B669C0" w:rsidRDefault="005E1E11" w:rsidP="00AE0A5F">
      <w:pPr>
        <w:pStyle w:val="ListParagraph"/>
        <w:numPr>
          <w:ilvl w:val="0"/>
          <w:numId w:val="7"/>
        </w:numPr>
        <w:spacing w:line="312" w:lineRule="auto"/>
        <w:jc w:val="both"/>
        <w:rPr>
          <w:rFonts w:ascii="Calibri" w:hAnsi="Calibri" w:cs="Calibri"/>
          <w:lang w:val="fr-FR"/>
        </w:rPr>
      </w:pPr>
      <w:r w:rsidRPr="00B669C0">
        <w:rPr>
          <w:rFonts w:ascii="Calibri" w:hAnsi="Calibri" w:cs="Calibri"/>
          <w:lang w:val="fr-FR"/>
        </w:rPr>
        <w:t xml:space="preserve">Target </w:t>
      </w:r>
      <w:proofErr w:type="spellStart"/>
      <w:r w:rsidRPr="00B669C0">
        <w:rPr>
          <w:rFonts w:ascii="Calibri" w:hAnsi="Calibri" w:cs="Calibri"/>
          <w:lang w:val="fr-FR"/>
        </w:rPr>
        <w:t>velocities</w:t>
      </w:r>
      <w:proofErr w:type="spellEnd"/>
      <w:r w:rsidR="005608AB" w:rsidRPr="00B669C0">
        <w:rPr>
          <w:rFonts w:ascii="Calibri" w:hAnsi="Calibri" w:cs="Calibri"/>
          <w:lang w:val="fr-FR"/>
        </w:rPr>
        <w:t>, pressures,</w:t>
      </w:r>
      <w:r w:rsidRPr="00B669C0">
        <w:rPr>
          <w:rFonts w:ascii="Calibri" w:hAnsi="Calibri" w:cs="Calibri"/>
          <w:lang w:val="fr-FR"/>
        </w:rPr>
        <w:t xml:space="preserve"> </w:t>
      </w:r>
      <w:proofErr w:type="spellStart"/>
      <w:r w:rsidRPr="00B669C0">
        <w:rPr>
          <w:rFonts w:ascii="Calibri" w:hAnsi="Calibri" w:cs="Calibri"/>
          <w:lang w:val="fr-FR"/>
        </w:rPr>
        <w:t>containment</w:t>
      </w:r>
      <w:proofErr w:type="spellEnd"/>
      <w:r w:rsidRPr="00B669C0">
        <w:rPr>
          <w:rFonts w:ascii="Calibri" w:hAnsi="Calibri" w:cs="Calibri"/>
          <w:lang w:val="fr-FR"/>
        </w:rPr>
        <w:t xml:space="preserve"> </w:t>
      </w:r>
      <w:proofErr w:type="spellStart"/>
      <w:r w:rsidRPr="00B669C0">
        <w:rPr>
          <w:rFonts w:ascii="Calibri" w:hAnsi="Calibri" w:cs="Calibri"/>
          <w:lang w:val="fr-FR"/>
        </w:rPr>
        <w:t>criteria</w:t>
      </w:r>
      <w:proofErr w:type="spellEnd"/>
      <w:r w:rsidRPr="00B669C0">
        <w:rPr>
          <w:rFonts w:ascii="Calibri" w:hAnsi="Calibri" w:cs="Calibri"/>
          <w:lang w:val="fr-FR"/>
        </w:rPr>
        <w:t xml:space="preserve"> </w:t>
      </w:r>
      <w:proofErr w:type="spellStart"/>
      <w:r w:rsidR="005608AB" w:rsidRPr="00B669C0">
        <w:rPr>
          <w:rFonts w:ascii="Calibri" w:hAnsi="Calibri" w:cs="Calibri"/>
          <w:lang w:val="fr-FR"/>
        </w:rPr>
        <w:t>etc</w:t>
      </w:r>
      <w:proofErr w:type="spellEnd"/>
    </w:p>
    <w:p w14:paraId="4EB994F4" w14:textId="6BB6169F" w:rsidR="005E1E11" w:rsidRPr="005608AB" w:rsidRDefault="005E1E11" w:rsidP="00AE0A5F">
      <w:pPr>
        <w:pStyle w:val="ListParagraph"/>
        <w:numPr>
          <w:ilvl w:val="0"/>
          <w:numId w:val="7"/>
        </w:numPr>
        <w:spacing w:line="312" w:lineRule="auto"/>
        <w:jc w:val="both"/>
        <w:rPr>
          <w:rFonts w:ascii="Calibri" w:hAnsi="Calibri" w:cs="Calibri"/>
        </w:rPr>
      </w:pPr>
      <w:r w:rsidRPr="005608AB">
        <w:rPr>
          <w:rFonts w:ascii="Calibri" w:hAnsi="Calibri" w:cs="Calibri"/>
        </w:rPr>
        <w:lastRenderedPageBreak/>
        <w:t xml:space="preserve">Required </w:t>
      </w:r>
      <w:r w:rsidR="005608AB">
        <w:rPr>
          <w:rFonts w:ascii="Calibri" w:hAnsi="Calibri" w:cs="Calibri"/>
        </w:rPr>
        <w:t xml:space="preserve">duct </w:t>
      </w:r>
      <w:r w:rsidRPr="005608AB">
        <w:rPr>
          <w:rFonts w:ascii="Calibri" w:hAnsi="Calibri" w:cs="Calibri"/>
        </w:rPr>
        <w:t xml:space="preserve">transport velocities </w:t>
      </w:r>
    </w:p>
    <w:p w14:paraId="40943500" w14:textId="7E151652" w:rsidR="005E1E11" w:rsidRPr="005608AB" w:rsidRDefault="005E1E11" w:rsidP="00AE0A5F">
      <w:pPr>
        <w:pStyle w:val="ListParagraph"/>
        <w:numPr>
          <w:ilvl w:val="0"/>
          <w:numId w:val="7"/>
        </w:numPr>
        <w:spacing w:line="312" w:lineRule="auto"/>
        <w:jc w:val="both"/>
        <w:rPr>
          <w:rFonts w:ascii="Calibri" w:hAnsi="Calibri" w:cs="Calibri"/>
        </w:rPr>
      </w:pPr>
      <w:r w:rsidRPr="005608AB">
        <w:rPr>
          <w:rFonts w:ascii="Calibri" w:hAnsi="Calibri" w:cs="Calibri"/>
        </w:rPr>
        <w:t xml:space="preserve">Fan performance expectations </w:t>
      </w:r>
    </w:p>
    <w:p w14:paraId="10C20B1B" w14:textId="76881623" w:rsidR="005E1E11" w:rsidRPr="005608AB" w:rsidRDefault="005E1E11" w:rsidP="00AE0A5F">
      <w:pPr>
        <w:pStyle w:val="ListParagraph"/>
        <w:numPr>
          <w:ilvl w:val="0"/>
          <w:numId w:val="7"/>
        </w:numPr>
        <w:spacing w:line="312" w:lineRule="auto"/>
        <w:jc w:val="both"/>
        <w:rPr>
          <w:rFonts w:ascii="Calibri" w:hAnsi="Calibri" w:cs="Calibri"/>
        </w:rPr>
      </w:pPr>
      <w:r w:rsidRPr="005608AB">
        <w:rPr>
          <w:rFonts w:ascii="Calibri" w:hAnsi="Calibri" w:cs="Calibri"/>
        </w:rPr>
        <w:t>Static pressure design</w:t>
      </w:r>
      <w:r w:rsidR="005608AB">
        <w:rPr>
          <w:rFonts w:ascii="Calibri" w:hAnsi="Calibri" w:cs="Calibri"/>
        </w:rPr>
        <w:t xml:space="preserve"> requirements</w:t>
      </w:r>
      <w:r w:rsidRPr="005608AB">
        <w:rPr>
          <w:rFonts w:ascii="Calibri" w:hAnsi="Calibri" w:cs="Calibri"/>
        </w:rPr>
        <w:t xml:space="preserve"> </w:t>
      </w:r>
    </w:p>
    <w:p w14:paraId="7F30D6EF" w14:textId="77777777" w:rsidR="005E1E11" w:rsidRPr="005E1E11" w:rsidRDefault="005E1E11" w:rsidP="007B0A46">
      <w:pPr>
        <w:spacing w:line="312" w:lineRule="auto"/>
        <w:ind w:left="142"/>
        <w:jc w:val="both"/>
        <w:rPr>
          <w:rFonts w:ascii="Calibri" w:hAnsi="Calibri" w:cs="Calibri"/>
        </w:rPr>
      </w:pPr>
      <w:r w:rsidRPr="005E1E11">
        <w:rPr>
          <w:rFonts w:ascii="Calibri" w:hAnsi="Calibri" w:cs="Calibri"/>
        </w:rPr>
        <w:t>These parameters form the technical reference against which performance is measured.</w:t>
      </w:r>
    </w:p>
    <w:p w14:paraId="4D8AEF4B" w14:textId="6E9C8AC8" w:rsidR="005E1E11" w:rsidRPr="00AE0A5F" w:rsidRDefault="005E1E11" w:rsidP="007B0A46">
      <w:pPr>
        <w:spacing w:line="312" w:lineRule="auto"/>
        <w:ind w:left="142"/>
        <w:jc w:val="both"/>
        <w:rPr>
          <w:rFonts w:ascii="Calibri" w:hAnsi="Calibri" w:cs="Calibri"/>
          <w:b/>
          <w:bCs/>
        </w:rPr>
      </w:pPr>
      <w:r w:rsidRPr="005608AB">
        <w:rPr>
          <w:rFonts w:ascii="Calibri" w:hAnsi="Calibri" w:cs="Calibri"/>
          <w:b/>
          <w:bCs/>
        </w:rPr>
        <w:t>TExT does not establish these values.</w:t>
      </w:r>
      <w:r w:rsidR="00AE0A5F">
        <w:rPr>
          <w:rFonts w:ascii="Calibri" w:hAnsi="Calibri" w:cs="Calibri"/>
          <w:b/>
          <w:bCs/>
        </w:rPr>
        <w:t xml:space="preserve"> </w:t>
      </w:r>
      <w:r w:rsidRPr="005E1E11">
        <w:rPr>
          <w:rFonts w:ascii="Calibri" w:hAnsi="Calibri" w:cs="Calibri"/>
        </w:rPr>
        <w:t>It relies on their prior existence.</w:t>
      </w:r>
    </w:p>
    <w:p w14:paraId="660AED9B" w14:textId="77777777" w:rsidR="005E1E11" w:rsidRDefault="005E1E11" w:rsidP="007B0A46">
      <w:pPr>
        <w:spacing w:line="312" w:lineRule="auto"/>
        <w:ind w:left="142"/>
        <w:jc w:val="both"/>
        <w:rPr>
          <w:rFonts w:ascii="Calibri" w:hAnsi="Calibri" w:cs="Calibri"/>
        </w:rPr>
      </w:pPr>
      <w:r w:rsidRPr="005E1E11">
        <w:rPr>
          <w:rFonts w:ascii="Calibri" w:hAnsi="Calibri" w:cs="Calibri"/>
        </w:rPr>
        <w:t>Where no formal design reference exists, TExT measurements lack meaningful context.</w:t>
      </w:r>
    </w:p>
    <w:p w14:paraId="4C4A3996" w14:textId="6CC4645D" w:rsidR="005E1E11" w:rsidRPr="005E1E11" w:rsidRDefault="005E1E11" w:rsidP="00AE0A5F">
      <w:pPr>
        <w:spacing w:line="312" w:lineRule="auto"/>
        <w:jc w:val="both"/>
        <w:rPr>
          <w:rFonts w:ascii="Calibri" w:hAnsi="Calibri" w:cs="Calibri"/>
        </w:rPr>
      </w:pPr>
    </w:p>
    <w:p w14:paraId="56900702" w14:textId="068512D8" w:rsidR="005E1E11" w:rsidRPr="00B669C0" w:rsidRDefault="003E258F" w:rsidP="00AE0A5F">
      <w:pPr>
        <w:pStyle w:val="Heading2"/>
        <w:spacing w:after="160" w:line="312" w:lineRule="auto"/>
        <w:jc w:val="both"/>
      </w:pPr>
      <w:bookmarkStart w:id="14" w:name="_Toc231462486"/>
      <w:r w:rsidRPr="00B669C0">
        <w:t>3</w:t>
      </w:r>
      <w:r w:rsidR="005E1E11" w:rsidRPr="00B669C0">
        <w:t>.3 Measurement Scope</w:t>
      </w:r>
      <w:bookmarkEnd w:id="14"/>
    </w:p>
    <w:p w14:paraId="6E69B78F" w14:textId="77777777" w:rsidR="005E1E11" w:rsidRPr="005E1E11" w:rsidRDefault="005E1E11" w:rsidP="00AE0A5F">
      <w:pPr>
        <w:spacing w:line="312" w:lineRule="auto"/>
        <w:jc w:val="both"/>
        <w:rPr>
          <w:rFonts w:ascii="Calibri" w:hAnsi="Calibri" w:cs="Calibri"/>
        </w:rPr>
      </w:pPr>
      <w:r w:rsidRPr="005E1E11">
        <w:rPr>
          <w:rFonts w:ascii="Calibri" w:hAnsi="Calibri" w:cs="Calibri"/>
        </w:rPr>
        <w:t>Commissioning measurements should include:</w:t>
      </w:r>
    </w:p>
    <w:p w14:paraId="68B3CF00" w14:textId="193E5D8F" w:rsidR="005E1E11" w:rsidRPr="005608AB" w:rsidRDefault="005E1E11" w:rsidP="00AE0A5F">
      <w:pPr>
        <w:pStyle w:val="ListParagraph"/>
        <w:numPr>
          <w:ilvl w:val="0"/>
          <w:numId w:val="8"/>
        </w:numPr>
        <w:spacing w:line="312" w:lineRule="auto"/>
        <w:jc w:val="both"/>
        <w:rPr>
          <w:rFonts w:ascii="Calibri" w:hAnsi="Calibri" w:cs="Calibri"/>
        </w:rPr>
      </w:pPr>
      <w:r w:rsidRPr="005608AB">
        <w:rPr>
          <w:rFonts w:ascii="Calibri" w:hAnsi="Calibri" w:cs="Calibri"/>
        </w:rPr>
        <w:t xml:space="preserve">Hood face or capture velocity assessment (where applicable) </w:t>
      </w:r>
    </w:p>
    <w:p w14:paraId="55191C20" w14:textId="4AFFDB9E" w:rsidR="005E1E11" w:rsidRPr="005608AB" w:rsidRDefault="005E1E11" w:rsidP="00AE0A5F">
      <w:pPr>
        <w:pStyle w:val="ListParagraph"/>
        <w:numPr>
          <w:ilvl w:val="0"/>
          <w:numId w:val="8"/>
        </w:numPr>
        <w:spacing w:line="312" w:lineRule="auto"/>
        <w:jc w:val="both"/>
        <w:rPr>
          <w:rFonts w:ascii="Calibri" w:hAnsi="Calibri" w:cs="Calibri"/>
        </w:rPr>
      </w:pPr>
      <w:r w:rsidRPr="005608AB">
        <w:rPr>
          <w:rFonts w:ascii="Calibri" w:hAnsi="Calibri" w:cs="Calibri"/>
        </w:rPr>
        <w:t xml:space="preserve">Volumetric airflow rates at hoods and main branches </w:t>
      </w:r>
    </w:p>
    <w:p w14:paraId="3F58CB65" w14:textId="105B8F4F" w:rsidR="005E1E11" w:rsidRPr="005608AB" w:rsidRDefault="005E1E11" w:rsidP="00AE0A5F">
      <w:pPr>
        <w:pStyle w:val="ListParagraph"/>
        <w:numPr>
          <w:ilvl w:val="0"/>
          <w:numId w:val="8"/>
        </w:numPr>
        <w:spacing w:line="312" w:lineRule="auto"/>
        <w:jc w:val="both"/>
        <w:rPr>
          <w:rFonts w:ascii="Calibri" w:hAnsi="Calibri" w:cs="Calibri"/>
        </w:rPr>
      </w:pPr>
      <w:r w:rsidRPr="005608AB">
        <w:rPr>
          <w:rFonts w:ascii="Calibri" w:hAnsi="Calibri" w:cs="Calibri"/>
        </w:rPr>
        <w:t xml:space="preserve">Duct transport velocities </w:t>
      </w:r>
    </w:p>
    <w:p w14:paraId="4C7FBE61" w14:textId="3A4049E4" w:rsidR="005E1E11" w:rsidRPr="005608AB" w:rsidRDefault="005E1E11" w:rsidP="00AE0A5F">
      <w:pPr>
        <w:pStyle w:val="ListParagraph"/>
        <w:numPr>
          <w:ilvl w:val="0"/>
          <w:numId w:val="8"/>
        </w:numPr>
        <w:spacing w:line="312" w:lineRule="auto"/>
        <w:jc w:val="both"/>
        <w:rPr>
          <w:rFonts w:ascii="Calibri" w:hAnsi="Calibri" w:cs="Calibri"/>
        </w:rPr>
      </w:pPr>
      <w:r w:rsidRPr="005608AB">
        <w:rPr>
          <w:rFonts w:ascii="Calibri" w:hAnsi="Calibri" w:cs="Calibri"/>
        </w:rPr>
        <w:t xml:space="preserve">Static pressure profiles across system </w:t>
      </w:r>
    </w:p>
    <w:p w14:paraId="5BB75D2A" w14:textId="1BDB7D35" w:rsidR="005E1E11" w:rsidRPr="005608AB" w:rsidRDefault="005E1E11" w:rsidP="00AE0A5F">
      <w:pPr>
        <w:pStyle w:val="ListParagraph"/>
        <w:numPr>
          <w:ilvl w:val="0"/>
          <w:numId w:val="8"/>
        </w:numPr>
        <w:spacing w:line="312" w:lineRule="auto"/>
        <w:jc w:val="both"/>
        <w:rPr>
          <w:rFonts w:ascii="Calibri" w:hAnsi="Calibri" w:cs="Calibri"/>
        </w:rPr>
      </w:pPr>
      <w:r w:rsidRPr="005608AB">
        <w:rPr>
          <w:rFonts w:ascii="Calibri" w:hAnsi="Calibri" w:cs="Calibri"/>
        </w:rPr>
        <w:t xml:space="preserve">Fan duty confirmation (flow vs pressure curve alignment) </w:t>
      </w:r>
    </w:p>
    <w:p w14:paraId="247DEA81" w14:textId="2F0077B8" w:rsidR="005E1E11" w:rsidRPr="005608AB" w:rsidRDefault="005E1E11" w:rsidP="00AE0A5F">
      <w:pPr>
        <w:pStyle w:val="ListParagraph"/>
        <w:numPr>
          <w:ilvl w:val="0"/>
          <w:numId w:val="8"/>
        </w:numPr>
        <w:spacing w:line="312" w:lineRule="auto"/>
        <w:jc w:val="both"/>
        <w:rPr>
          <w:rFonts w:ascii="Calibri" w:hAnsi="Calibri" w:cs="Calibri"/>
        </w:rPr>
      </w:pPr>
      <w:r w:rsidRPr="005608AB">
        <w:rPr>
          <w:rFonts w:ascii="Calibri" w:hAnsi="Calibri" w:cs="Calibri"/>
        </w:rPr>
        <w:t xml:space="preserve">Assessment of system balance </w:t>
      </w:r>
    </w:p>
    <w:p w14:paraId="0D9A0CF7" w14:textId="77777777" w:rsidR="005E1E11" w:rsidRPr="005E1E11" w:rsidRDefault="005E1E11" w:rsidP="00AE0A5F">
      <w:pPr>
        <w:spacing w:line="312" w:lineRule="auto"/>
        <w:jc w:val="both"/>
        <w:rPr>
          <w:rFonts w:ascii="Calibri" w:hAnsi="Calibri" w:cs="Calibri"/>
        </w:rPr>
      </w:pPr>
      <w:r w:rsidRPr="005E1E11">
        <w:rPr>
          <w:rFonts w:ascii="Calibri" w:hAnsi="Calibri" w:cs="Calibri"/>
        </w:rPr>
        <w:t>Measurement methodology should be documented, including:</w:t>
      </w:r>
    </w:p>
    <w:p w14:paraId="69F018C0" w14:textId="4D8FCC45" w:rsidR="005E1E11" w:rsidRPr="005608AB" w:rsidRDefault="005E1E11" w:rsidP="00AE0A5F">
      <w:pPr>
        <w:pStyle w:val="ListParagraph"/>
        <w:numPr>
          <w:ilvl w:val="0"/>
          <w:numId w:val="9"/>
        </w:numPr>
        <w:spacing w:line="312" w:lineRule="auto"/>
        <w:jc w:val="both"/>
        <w:rPr>
          <w:rFonts w:ascii="Calibri" w:hAnsi="Calibri" w:cs="Calibri"/>
        </w:rPr>
      </w:pPr>
      <w:r w:rsidRPr="005608AB">
        <w:rPr>
          <w:rFonts w:ascii="Calibri" w:hAnsi="Calibri" w:cs="Calibri"/>
        </w:rPr>
        <w:t xml:space="preserve">Instrument calibration status </w:t>
      </w:r>
    </w:p>
    <w:p w14:paraId="3AF2605B" w14:textId="28BD80C1" w:rsidR="005E1E11" w:rsidRPr="005608AB" w:rsidRDefault="005E1E11" w:rsidP="00AE0A5F">
      <w:pPr>
        <w:pStyle w:val="ListParagraph"/>
        <w:numPr>
          <w:ilvl w:val="0"/>
          <w:numId w:val="9"/>
        </w:numPr>
        <w:spacing w:line="312" w:lineRule="auto"/>
        <w:jc w:val="both"/>
        <w:rPr>
          <w:rFonts w:ascii="Calibri" w:hAnsi="Calibri" w:cs="Calibri"/>
        </w:rPr>
      </w:pPr>
      <w:r w:rsidRPr="005608AB">
        <w:rPr>
          <w:rFonts w:ascii="Calibri" w:hAnsi="Calibri" w:cs="Calibri"/>
        </w:rPr>
        <w:t xml:space="preserve">Measurement location and method </w:t>
      </w:r>
    </w:p>
    <w:p w14:paraId="7F675E65" w14:textId="0F2DA71A" w:rsidR="005E1E11" w:rsidRPr="005608AB" w:rsidRDefault="005E1E11" w:rsidP="00AE0A5F">
      <w:pPr>
        <w:pStyle w:val="ListParagraph"/>
        <w:numPr>
          <w:ilvl w:val="0"/>
          <w:numId w:val="9"/>
        </w:numPr>
        <w:spacing w:line="312" w:lineRule="auto"/>
        <w:jc w:val="both"/>
        <w:rPr>
          <w:rFonts w:ascii="Calibri" w:hAnsi="Calibri" w:cs="Calibri"/>
        </w:rPr>
      </w:pPr>
      <w:r w:rsidRPr="005608AB">
        <w:rPr>
          <w:rFonts w:ascii="Calibri" w:hAnsi="Calibri" w:cs="Calibri"/>
        </w:rPr>
        <w:t xml:space="preserve">Assumptions and limitations </w:t>
      </w:r>
    </w:p>
    <w:p w14:paraId="3B9D32A4" w14:textId="215A4A58" w:rsidR="005E1E11" w:rsidRPr="005608AB" w:rsidRDefault="005E1E11" w:rsidP="00AE0A5F">
      <w:pPr>
        <w:pStyle w:val="ListParagraph"/>
        <w:numPr>
          <w:ilvl w:val="0"/>
          <w:numId w:val="9"/>
        </w:numPr>
        <w:spacing w:line="312" w:lineRule="auto"/>
        <w:jc w:val="both"/>
        <w:rPr>
          <w:rFonts w:ascii="Calibri" w:hAnsi="Calibri" w:cs="Calibri"/>
        </w:rPr>
      </w:pPr>
      <w:r w:rsidRPr="005608AB">
        <w:rPr>
          <w:rFonts w:ascii="Calibri" w:hAnsi="Calibri" w:cs="Calibri"/>
        </w:rPr>
        <w:t xml:space="preserve">Environmental factors </w:t>
      </w:r>
    </w:p>
    <w:p w14:paraId="18AC916D" w14:textId="77777777" w:rsidR="005E1E11" w:rsidRDefault="005E1E11" w:rsidP="007B0A46">
      <w:pPr>
        <w:spacing w:line="312" w:lineRule="auto"/>
        <w:ind w:left="142"/>
        <w:jc w:val="both"/>
        <w:rPr>
          <w:rFonts w:ascii="Calibri" w:hAnsi="Calibri" w:cs="Calibri"/>
        </w:rPr>
      </w:pPr>
      <w:r w:rsidRPr="005E1E11">
        <w:rPr>
          <w:rFonts w:ascii="Calibri" w:hAnsi="Calibri" w:cs="Calibri"/>
        </w:rPr>
        <w:t>Commissioning must also consider measurement uncertainty and its potential impact on performance interpretation.</w:t>
      </w:r>
    </w:p>
    <w:p w14:paraId="3AF557A2" w14:textId="3BACE583" w:rsidR="005E1E11" w:rsidRPr="005E1E11" w:rsidRDefault="005E1E11" w:rsidP="007B0A46">
      <w:pPr>
        <w:spacing w:line="312" w:lineRule="auto"/>
        <w:ind w:left="142"/>
        <w:jc w:val="both"/>
        <w:rPr>
          <w:rFonts w:ascii="Calibri" w:hAnsi="Calibri" w:cs="Calibri"/>
        </w:rPr>
      </w:pPr>
      <w:r w:rsidRPr="005E1E11">
        <w:rPr>
          <w:rFonts w:ascii="Calibri" w:hAnsi="Calibri" w:cs="Calibri"/>
        </w:rPr>
        <w:t>TExT measurements typically include:</w:t>
      </w:r>
    </w:p>
    <w:p w14:paraId="712FB877" w14:textId="295E1047" w:rsidR="005E1E11" w:rsidRPr="005608AB" w:rsidRDefault="005E1E11" w:rsidP="00AE0A5F">
      <w:pPr>
        <w:pStyle w:val="ListParagraph"/>
        <w:numPr>
          <w:ilvl w:val="0"/>
          <w:numId w:val="10"/>
        </w:numPr>
        <w:spacing w:line="312" w:lineRule="auto"/>
        <w:jc w:val="both"/>
        <w:rPr>
          <w:rFonts w:ascii="Calibri" w:hAnsi="Calibri" w:cs="Calibri"/>
        </w:rPr>
      </w:pPr>
      <w:r w:rsidRPr="005608AB">
        <w:rPr>
          <w:rFonts w:ascii="Calibri" w:hAnsi="Calibri" w:cs="Calibri"/>
        </w:rPr>
        <w:t xml:space="preserve">Airflow rate confirmation </w:t>
      </w:r>
    </w:p>
    <w:p w14:paraId="4EC4AC88" w14:textId="490352C3" w:rsidR="005E1E11" w:rsidRPr="005608AB" w:rsidRDefault="005E1E11" w:rsidP="00AE0A5F">
      <w:pPr>
        <w:pStyle w:val="ListParagraph"/>
        <w:numPr>
          <w:ilvl w:val="0"/>
          <w:numId w:val="10"/>
        </w:numPr>
        <w:spacing w:line="312" w:lineRule="auto"/>
        <w:jc w:val="both"/>
        <w:rPr>
          <w:rFonts w:ascii="Calibri" w:hAnsi="Calibri" w:cs="Calibri"/>
        </w:rPr>
      </w:pPr>
      <w:r w:rsidRPr="005608AB">
        <w:rPr>
          <w:rFonts w:ascii="Calibri" w:hAnsi="Calibri" w:cs="Calibri"/>
        </w:rPr>
        <w:t xml:space="preserve">Static pressure readings </w:t>
      </w:r>
    </w:p>
    <w:p w14:paraId="6A1BCE9F" w14:textId="2AEDCBA8" w:rsidR="005E1E11" w:rsidRPr="005608AB" w:rsidRDefault="005E1E11" w:rsidP="00AE0A5F">
      <w:pPr>
        <w:pStyle w:val="ListParagraph"/>
        <w:numPr>
          <w:ilvl w:val="0"/>
          <w:numId w:val="10"/>
        </w:numPr>
        <w:spacing w:line="312" w:lineRule="auto"/>
        <w:jc w:val="both"/>
        <w:rPr>
          <w:rFonts w:ascii="Calibri" w:hAnsi="Calibri" w:cs="Calibri"/>
        </w:rPr>
      </w:pPr>
      <w:r w:rsidRPr="005608AB">
        <w:rPr>
          <w:rFonts w:ascii="Calibri" w:hAnsi="Calibri" w:cs="Calibri"/>
        </w:rPr>
        <w:t xml:space="preserve">Visual inspection of hood condition </w:t>
      </w:r>
    </w:p>
    <w:p w14:paraId="47D29535" w14:textId="5100A106" w:rsidR="005E1E11" w:rsidRPr="005608AB" w:rsidRDefault="005E1E11" w:rsidP="00AE0A5F">
      <w:pPr>
        <w:pStyle w:val="ListParagraph"/>
        <w:numPr>
          <w:ilvl w:val="0"/>
          <w:numId w:val="10"/>
        </w:numPr>
        <w:spacing w:line="312" w:lineRule="auto"/>
        <w:jc w:val="both"/>
        <w:rPr>
          <w:rFonts w:ascii="Calibri" w:hAnsi="Calibri" w:cs="Calibri"/>
        </w:rPr>
      </w:pPr>
      <w:r w:rsidRPr="005608AB">
        <w:rPr>
          <w:rFonts w:ascii="Calibri" w:hAnsi="Calibri" w:cs="Calibri"/>
        </w:rPr>
        <w:t xml:space="preserve">Filter condition and pressure drop </w:t>
      </w:r>
    </w:p>
    <w:p w14:paraId="74B2FE39" w14:textId="2C90D054" w:rsidR="005E1E11" w:rsidRPr="005608AB" w:rsidRDefault="005E1E11" w:rsidP="00AE0A5F">
      <w:pPr>
        <w:pStyle w:val="ListParagraph"/>
        <w:numPr>
          <w:ilvl w:val="0"/>
          <w:numId w:val="10"/>
        </w:numPr>
        <w:spacing w:line="312" w:lineRule="auto"/>
        <w:jc w:val="both"/>
        <w:rPr>
          <w:rFonts w:ascii="Calibri" w:hAnsi="Calibri" w:cs="Calibri"/>
        </w:rPr>
      </w:pPr>
      <w:r w:rsidRPr="005608AB">
        <w:rPr>
          <w:rFonts w:ascii="Calibri" w:hAnsi="Calibri" w:cs="Calibri"/>
        </w:rPr>
        <w:t xml:space="preserve">System integrity checks </w:t>
      </w:r>
    </w:p>
    <w:p w14:paraId="11CFC719" w14:textId="77777777" w:rsidR="005E1E11" w:rsidRPr="005E1E11" w:rsidRDefault="005E1E11" w:rsidP="007B0A46">
      <w:pPr>
        <w:spacing w:line="312" w:lineRule="auto"/>
        <w:ind w:left="142"/>
        <w:jc w:val="both"/>
        <w:rPr>
          <w:rFonts w:ascii="Calibri" w:hAnsi="Calibri" w:cs="Calibri"/>
        </w:rPr>
      </w:pPr>
      <w:r w:rsidRPr="005E1E11">
        <w:rPr>
          <w:rFonts w:ascii="Calibri" w:hAnsi="Calibri" w:cs="Calibri"/>
        </w:rPr>
        <w:t>The TExT compares current readings against:</w:t>
      </w:r>
    </w:p>
    <w:p w14:paraId="6B15BD41" w14:textId="62F6B018" w:rsidR="005E1E11" w:rsidRPr="005608AB" w:rsidRDefault="005E1E11" w:rsidP="00AE0A5F">
      <w:pPr>
        <w:pStyle w:val="ListParagraph"/>
        <w:numPr>
          <w:ilvl w:val="0"/>
          <w:numId w:val="11"/>
        </w:numPr>
        <w:spacing w:line="312" w:lineRule="auto"/>
        <w:jc w:val="both"/>
        <w:rPr>
          <w:rFonts w:ascii="Calibri" w:hAnsi="Calibri" w:cs="Calibri"/>
        </w:rPr>
      </w:pPr>
      <w:r w:rsidRPr="005608AB">
        <w:rPr>
          <w:rFonts w:ascii="Calibri" w:hAnsi="Calibri" w:cs="Calibri"/>
        </w:rPr>
        <w:t xml:space="preserve">Commissioning benchmark values </w:t>
      </w:r>
    </w:p>
    <w:p w14:paraId="3C0A6924" w14:textId="08650E8F" w:rsidR="005E1E11" w:rsidRPr="005608AB" w:rsidRDefault="005E1E11" w:rsidP="00AE0A5F">
      <w:pPr>
        <w:pStyle w:val="ListParagraph"/>
        <w:numPr>
          <w:ilvl w:val="0"/>
          <w:numId w:val="11"/>
        </w:numPr>
        <w:spacing w:line="312" w:lineRule="auto"/>
        <w:jc w:val="both"/>
        <w:rPr>
          <w:rFonts w:ascii="Calibri" w:hAnsi="Calibri" w:cs="Calibri"/>
        </w:rPr>
      </w:pPr>
      <w:r w:rsidRPr="005608AB">
        <w:rPr>
          <w:rFonts w:ascii="Calibri" w:hAnsi="Calibri" w:cs="Calibri"/>
        </w:rPr>
        <w:lastRenderedPageBreak/>
        <w:t xml:space="preserve">Previously recorded test data </w:t>
      </w:r>
    </w:p>
    <w:p w14:paraId="76704DBC" w14:textId="3C74F020" w:rsidR="005E1E11" w:rsidRDefault="005E1E11" w:rsidP="007B0A46">
      <w:pPr>
        <w:spacing w:line="312" w:lineRule="auto"/>
        <w:ind w:left="142"/>
        <w:jc w:val="both"/>
        <w:rPr>
          <w:rFonts w:ascii="Calibri" w:hAnsi="Calibri" w:cs="Calibri"/>
        </w:rPr>
      </w:pPr>
      <w:r w:rsidRPr="005E1E11">
        <w:rPr>
          <w:rFonts w:ascii="Calibri" w:hAnsi="Calibri" w:cs="Calibri"/>
        </w:rPr>
        <w:t>Without an established commissioning benchmark, TExT can only confirm relative stability — not adequacy.</w:t>
      </w:r>
    </w:p>
    <w:p w14:paraId="4D632653" w14:textId="624D1D2F" w:rsidR="005E1E11" w:rsidRPr="005E1E11" w:rsidRDefault="005E1E11" w:rsidP="00AE0A5F">
      <w:pPr>
        <w:spacing w:line="312" w:lineRule="auto"/>
        <w:jc w:val="both"/>
        <w:rPr>
          <w:rFonts w:ascii="Calibri" w:hAnsi="Calibri" w:cs="Calibri"/>
        </w:rPr>
      </w:pPr>
    </w:p>
    <w:p w14:paraId="6FC20FE6" w14:textId="0D781CDD" w:rsidR="005E1E11" w:rsidRPr="00B669C0" w:rsidRDefault="003E258F" w:rsidP="00AE0A5F">
      <w:pPr>
        <w:pStyle w:val="Heading2"/>
        <w:spacing w:after="160" w:line="312" w:lineRule="auto"/>
        <w:jc w:val="both"/>
      </w:pPr>
      <w:bookmarkStart w:id="15" w:name="_Toc231462487"/>
      <w:r w:rsidRPr="00B669C0">
        <w:t>3</w:t>
      </w:r>
      <w:r w:rsidR="005E1E11" w:rsidRPr="00B669C0">
        <w:t>.4 Capability vs Condition</w:t>
      </w:r>
      <w:bookmarkEnd w:id="15"/>
    </w:p>
    <w:p w14:paraId="02E8CAEB" w14:textId="792F59EF" w:rsidR="005E1E11" w:rsidRPr="005E1E11" w:rsidRDefault="005E1E11" w:rsidP="00AE0A5F">
      <w:pPr>
        <w:spacing w:line="312" w:lineRule="auto"/>
        <w:jc w:val="both"/>
        <w:rPr>
          <w:rFonts w:ascii="Calibri" w:hAnsi="Calibri" w:cs="Calibri"/>
        </w:rPr>
      </w:pPr>
      <w:r w:rsidRPr="005E1E11">
        <w:rPr>
          <w:rFonts w:ascii="Calibri" w:hAnsi="Calibri" w:cs="Calibri"/>
        </w:rPr>
        <w:t>The critical technical distinction lies between capability and condition.</w:t>
      </w:r>
    </w:p>
    <w:p w14:paraId="37BD3D43" w14:textId="5B092EC8" w:rsidR="005E1E11" w:rsidRPr="005E1E11" w:rsidRDefault="005E1E11" w:rsidP="00AE0A5F">
      <w:pPr>
        <w:spacing w:line="312" w:lineRule="auto"/>
        <w:jc w:val="both"/>
        <w:rPr>
          <w:rFonts w:ascii="Calibri" w:hAnsi="Calibri" w:cs="Calibri"/>
        </w:rPr>
      </w:pPr>
      <w:r w:rsidRPr="005E1E11">
        <w:rPr>
          <w:rFonts w:ascii="Calibri" w:hAnsi="Calibri" w:cs="Calibri"/>
        </w:rPr>
        <w:t>A system may:</w:t>
      </w:r>
    </w:p>
    <w:p w14:paraId="71E40D67" w14:textId="33E25F51" w:rsidR="005E1E11" w:rsidRPr="005608AB" w:rsidRDefault="005E1E11" w:rsidP="00AE0A5F">
      <w:pPr>
        <w:pStyle w:val="ListParagraph"/>
        <w:numPr>
          <w:ilvl w:val="0"/>
          <w:numId w:val="12"/>
        </w:numPr>
        <w:spacing w:line="312" w:lineRule="auto"/>
        <w:jc w:val="both"/>
        <w:rPr>
          <w:rFonts w:ascii="Calibri" w:hAnsi="Calibri" w:cs="Calibri"/>
        </w:rPr>
      </w:pPr>
      <w:r w:rsidRPr="005608AB">
        <w:rPr>
          <w:rFonts w:ascii="Calibri" w:hAnsi="Calibri" w:cs="Calibri"/>
        </w:rPr>
        <w:t xml:space="preserve">Be mechanically intact </w:t>
      </w:r>
    </w:p>
    <w:p w14:paraId="54E325FF" w14:textId="0E6E7F90" w:rsidR="005E1E11" w:rsidRPr="005608AB" w:rsidRDefault="005E1E11" w:rsidP="00AE0A5F">
      <w:pPr>
        <w:pStyle w:val="ListParagraph"/>
        <w:numPr>
          <w:ilvl w:val="0"/>
          <w:numId w:val="12"/>
        </w:numPr>
        <w:spacing w:line="312" w:lineRule="auto"/>
        <w:jc w:val="both"/>
        <w:rPr>
          <w:rFonts w:ascii="Calibri" w:hAnsi="Calibri" w:cs="Calibri"/>
        </w:rPr>
      </w:pPr>
      <w:r w:rsidRPr="005608AB">
        <w:rPr>
          <w:rFonts w:ascii="Calibri" w:hAnsi="Calibri" w:cs="Calibri"/>
        </w:rPr>
        <w:t xml:space="preserve">Demonstrate stable airflow readings </w:t>
      </w:r>
    </w:p>
    <w:p w14:paraId="293591F6" w14:textId="0C7856DA" w:rsidR="005E1E11" w:rsidRPr="005608AB" w:rsidRDefault="005E1E11" w:rsidP="00AE0A5F">
      <w:pPr>
        <w:pStyle w:val="ListParagraph"/>
        <w:numPr>
          <w:ilvl w:val="0"/>
          <w:numId w:val="12"/>
        </w:numPr>
        <w:spacing w:line="312" w:lineRule="auto"/>
        <w:jc w:val="both"/>
        <w:rPr>
          <w:rFonts w:ascii="Calibri" w:hAnsi="Calibri" w:cs="Calibri"/>
        </w:rPr>
      </w:pPr>
      <w:r w:rsidRPr="005608AB">
        <w:rPr>
          <w:rFonts w:ascii="Calibri" w:hAnsi="Calibri" w:cs="Calibri"/>
        </w:rPr>
        <w:t xml:space="preserve">Pass routine statutory examination </w:t>
      </w:r>
    </w:p>
    <w:p w14:paraId="072D5A8B" w14:textId="7529642C" w:rsidR="005E1E11" w:rsidRPr="005E1E11" w:rsidRDefault="005E1E11" w:rsidP="00AE0A5F">
      <w:pPr>
        <w:spacing w:line="312" w:lineRule="auto"/>
        <w:jc w:val="both"/>
        <w:rPr>
          <w:rFonts w:ascii="Calibri" w:hAnsi="Calibri" w:cs="Calibri"/>
        </w:rPr>
      </w:pPr>
      <w:r w:rsidRPr="005E1E11">
        <w:rPr>
          <w:rFonts w:ascii="Calibri" w:hAnsi="Calibri" w:cs="Calibri"/>
        </w:rPr>
        <w:t>Yet still be incapable of achieving effective contaminant c</w:t>
      </w:r>
      <w:r w:rsidR="005608AB">
        <w:rPr>
          <w:rFonts w:ascii="Calibri" w:hAnsi="Calibri" w:cs="Calibri"/>
        </w:rPr>
        <w:t>ontrol</w:t>
      </w:r>
      <w:r w:rsidRPr="005E1E11">
        <w:rPr>
          <w:rFonts w:ascii="Calibri" w:hAnsi="Calibri" w:cs="Calibri"/>
        </w:rPr>
        <w:t xml:space="preserve"> if:</w:t>
      </w:r>
    </w:p>
    <w:p w14:paraId="71F7479B" w14:textId="54D14EA3" w:rsidR="005E1E11" w:rsidRPr="005608AB" w:rsidRDefault="005E1E11" w:rsidP="00AE0A5F">
      <w:pPr>
        <w:pStyle w:val="ListParagraph"/>
        <w:numPr>
          <w:ilvl w:val="0"/>
          <w:numId w:val="13"/>
        </w:numPr>
        <w:spacing w:line="312" w:lineRule="auto"/>
        <w:jc w:val="both"/>
        <w:rPr>
          <w:rFonts w:ascii="Calibri" w:hAnsi="Calibri" w:cs="Calibri"/>
        </w:rPr>
      </w:pPr>
      <w:r w:rsidRPr="005608AB">
        <w:rPr>
          <w:rFonts w:ascii="Calibri" w:hAnsi="Calibri" w:cs="Calibri"/>
        </w:rPr>
        <w:t xml:space="preserve">The original airflow was insufficient </w:t>
      </w:r>
    </w:p>
    <w:p w14:paraId="3682FF98" w14:textId="58B9BB35" w:rsidR="005E1E11" w:rsidRPr="005608AB" w:rsidRDefault="005E1E11" w:rsidP="00AE0A5F">
      <w:pPr>
        <w:pStyle w:val="ListParagraph"/>
        <w:numPr>
          <w:ilvl w:val="0"/>
          <w:numId w:val="13"/>
        </w:numPr>
        <w:spacing w:line="312" w:lineRule="auto"/>
        <w:jc w:val="both"/>
        <w:rPr>
          <w:rFonts w:ascii="Calibri" w:hAnsi="Calibri" w:cs="Calibri"/>
        </w:rPr>
      </w:pPr>
      <w:r w:rsidRPr="005608AB">
        <w:rPr>
          <w:rFonts w:ascii="Calibri" w:hAnsi="Calibri" w:cs="Calibri"/>
        </w:rPr>
        <w:t xml:space="preserve">Hood design was inappropriate </w:t>
      </w:r>
    </w:p>
    <w:p w14:paraId="5A942E7A" w14:textId="20F1630A" w:rsidR="005E1E11" w:rsidRPr="005608AB" w:rsidRDefault="005608AB" w:rsidP="00AE0A5F">
      <w:pPr>
        <w:pStyle w:val="ListParagraph"/>
        <w:numPr>
          <w:ilvl w:val="0"/>
          <w:numId w:val="13"/>
        </w:numPr>
        <w:spacing w:line="312" w:lineRule="auto"/>
        <w:jc w:val="both"/>
        <w:rPr>
          <w:rFonts w:ascii="Calibri" w:hAnsi="Calibri" w:cs="Calibri"/>
        </w:rPr>
      </w:pPr>
      <w:r>
        <w:rPr>
          <w:rFonts w:ascii="Calibri" w:hAnsi="Calibri" w:cs="Calibri"/>
        </w:rPr>
        <w:t>Control approach</w:t>
      </w:r>
      <w:r w:rsidR="005E1E11" w:rsidRPr="005608AB">
        <w:rPr>
          <w:rFonts w:ascii="Calibri" w:hAnsi="Calibri" w:cs="Calibri"/>
        </w:rPr>
        <w:t xml:space="preserve"> was not aligned with contaminant behaviour </w:t>
      </w:r>
    </w:p>
    <w:p w14:paraId="01C7EA5F" w14:textId="37865A21" w:rsidR="005E1E11" w:rsidRPr="005608AB" w:rsidRDefault="005E1E11" w:rsidP="00AE0A5F">
      <w:pPr>
        <w:pStyle w:val="ListParagraph"/>
        <w:numPr>
          <w:ilvl w:val="0"/>
          <w:numId w:val="13"/>
        </w:numPr>
        <w:spacing w:line="312" w:lineRule="auto"/>
        <w:jc w:val="both"/>
        <w:rPr>
          <w:rFonts w:ascii="Calibri" w:hAnsi="Calibri" w:cs="Calibri"/>
        </w:rPr>
      </w:pPr>
      <w:r w:rsidRPr="005608AB">
        <w:rPr>
          <w:rFonts w:ascii="Calibri" w:hAnsi="Calibri" w:cs="Calibri"/>
        </w:rPr>
        <w:t xml:space="preserve">System resistance exceeds design assumptions </w:t>
      </w:r>
    </w:p>
    <w:p w14:paraId="6D76EF23" w14:textId="7A29E591" w:rsidR="005E1E11" w:rsidRPr="005E1E11" w:rsidRDefault="005E1E11" w:rsidP="007B0A46">
      <w:pPr>
        <w:spacing w:line="312" w:lineRule="auto"/>
        <w:ind w:left="142"/>
        <w:jc w:val="both"/>
        <w:rPr>
          <w:rFonts w:ascii="Calibri" w:hAnsi="Calibri" w:cs="Calibri"/>
        </w:rPr>
      </w:pPr>
      <w:r w:rsidRPr="005E1E11">
        <w:rPr>
          <w:rFonts w:ascii="Calibri" w:hAnsi="Calibri" w:cs="Calibri"/>
        </w:rPr>
        <w:t>If commissioning did not confirm adequate c</w:t>
      </w:r>
      <w:r w:rsidR="00C10C9B">
        <w:rPr>
          <w:rFonts w:ascii="Calibri" w:hAnsi="Calibri" w:cs="Calibri"/>
        </w:rPr>
        <w:t>ontrol</w:t>
      </w:r>
      <w:r w:rsidRPr="005E1E11">
        <w:rPr>
          <w:rFonts w:ascii="Calibri" w:hAnsi="Calibri" w:cs="Calibri"/>
        </w:rPr>
        <w:t xml:space="preserve"> performance at the outset, the system may have operated sub-optimally from day one.</w:t>
      </w:r>
    </w:p>
    <w:p w14:paraId="06C10D81" w14:textId="389827FA" w:rsidR="005E1E11" w:rsidRPr="005E1E11" w:rsidRDefault="005E1E11" w:rsidP="007B0A46">
      <w:pPr>
        <w:spacing w:line="312" w:lineRule="auto"/>
        <w:ind w:left="142"/>
        <w:jc w:val="both"/>
        <w:rPr>
          <w:rFonts w:ascii="Calibri" w:hAnsi="Calibri" w:cs="Calibri"/>
        </w:rPr>
      </w:pPr>
      <w:r w:rsidRPr="005E1E11">
        <w:rPr>
          <w:rFonts w:ascii="Calibri" w:hAnsi="Calibri" w:cs="Calibri"/>
        </w:rPr>
        <w:t>TExT cannot correct inadequate design capability.</w:t>
      </w:r>
    </w:p>
    <w:p w14:paraId="3C360E01" w14:textId="4D5D4825" w:rsidR="005E1E11" w:rsidRPr="005E1E11" w:rsidRDefault="005E1E11" w:rsidP="007B0A46">
      <w:pPr>
        <w:spacing w:line="312" w:lineRule="auto"/>
        <w:ind w:left="142"/>
        <w:jc w:val="both"/>
        <w:rPr>
          <w:rFonts w:ascii="Calibri" w:hAnsi="Calibri" w:cs="Calibri"/>
        </w:rPr>
      </w:pPr>
      <w:r w:rsidRPr="005E1E11">
        <w:rPr>
          <w:rFonts w:ascii="Calibri" w:hAnsi="Calibri" w:cs="Calibri"/>
        </w:rPr>
        <w:t>It can only detect deterioration relative to prior measurements.</w:t>
      </w:r>
    </w:p>
    <w:p w14:paraId="17365C1B" w14:textId="2CCE67EE" w:rsidR="00416D70" w:rsidRDefault="00E40408" w:rsidP="00AE0A5F">
      <w:pPr>
        <w:spacing w:line="312" w:lineRule="auto"/>
        <w:jc w:val="both"/>
        <w:rPr>
          <w:rFonts w:ascii="Calibri" w:hAnsi="Calibri" w:cs="Calibri"/>
          <w:sz w:val="28"/>
          <w:szCs w:val="28"/>
        </w:rPr>
      </w:pPr>
      <w:r>
        <w:rPr>
          <w:rFonts w:ascii="Calibri" w:hAnsi="Calibri" w:cs="Calibri"/>
          <w:noProof/>
          <w:sz w:val="28"/>
          <w:szCs w:val="28"/>
        </w:rPr>
        <mc:AlternateContent>
          <mc:Choice Requires="wps">
            <w:drawing>
              <wp:anchor distT="0" distB="0" distL="114300" distR="114300" simplePos="0" relativeHeight="251662336" behindDoc="0" locked="0" layoutInCell="1" allowOverlap="1" wp14:anchorId="4A63A20C" wp14:editId="534B94D2">
                <wp:simplePos x="0" y="0"/>
                <wp:positionH relativeFrom="margin">
                  <wp:align>left</wp:align>
                </wp:positionH>
                <wp:positionV relativeFrom="paragraph">
                  <wp:posOffset>231775</wp:posOffset>
                </wp:positionV>
                <wp:extent cx="6070600" cy="2647950"/>
                <wp:effectExtent l="0" t="0" r="25400" b="19050"/>
                <wp:wrapNone/>
                <wp:docPr id="769637458" name="Rectangle 4"/>
                <wp:cNvGraphicFramePr/>
                <a:graphic xmlns:a="http://schemas.openxmlformats.org/drawingml/2006/main">
                  <a:graphicData uri="http://schemas.microsoft.com/office/word/2010/wordprocessingShape">
                    <wps:wsp>
                      <wps:cNvSpPr/>
                      <wps:spPr>
                        <a:xfrm>
                          <a:off x="0" y="0"/>
                          <a:ext cx="6070600" cy="2647950"/>
                        </a:xfrm>
                        <a:prstGeom prst="rect">
                          <a:avLst/>
                        </a:prstGeom>
                        <a:solidFill>
                          <a:schemeClr val="accent1">
                            <a:alpha val="15000"/>
                          </a:schemeClr>
                        </a:solidFill>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D0838" id="Rectangle 4" o:spid="_x0000_s1026" style="position:absolute;margin-left:0;margin-top:18.25pt;width:478pt;height:208.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" fillcolor="#156082 [3204]" strokecolor="white [3201]" strokeweight="1.5pt">
                <v:fill opacity="9766f"/>
                <w10:wrap anchorx="margin"/>
              </v:rect>
            </w:pict>
          </mc:Fallback>
        </mc:AlternateContent>
      </w:r>
    </w:p>
    <w:p w14:paraId="297F235A" w14:textId="57EB86F9" w:rsidR="00416D70" w:rsidRPr="00B669C0" w:rsidRDefault="00416D70" w:rsidP="00B7621F">
      <w:pPr>
        <w:pStyle w:val="Heading2"/>
        <w:spacing w:after="160" w:line="312" w:lineRule="auto"/>
        <w:ind w:left="284"/>
        <w:jc w:val="both"/>
      </w:pPr>
      <w:bookmarkStart w:id="16" w:name="_Toc231462488"/>
      <w:r w:rsidRPr="00B669C0">
        <w:t xml:space="preserve">Practical </w:t>
      </w:r>
      <w:r w:rsidR="00207543">
        <w:t>Scenario</w:t>
      </w:r>
      <w:r w:rsidR="00245545" w:rsidRPr="00B669C0">
        <w:t xml:space="preserve"> </w:t>
      </w:r>
      <w:r w:rsidR="00AE0A5F">
        <w:t>(</w:t>
      </w:r>
      <w:r w:rsidR="00245545" w:rsidRPr="00B669C0">
        <w:t>A</w:t>
      </w:r>
      <w:r w:rsidR="00AE0A5F">
        <w:t xml:space="preserve">) </w:t>
      </w:r>
      <w:r w:rsidR="00245545" w:rsidRPr="00B669C0">
        <w:t>Welding</w:t>
      </w:r>
      <w:bookmarkEnd w:id="16"/>
    </w:p>
    <w:p w14:paraId="6A9BD863" w14:textId="5F238454" w:rsidR="00416D70" w:rsidRPr="00416D70" w:rsidRDefault="00416D70" w:rsidP="00B7621F">
      <w:pPr>
        <w:spacing w:line="312" w:lineRule="auto"/>
        <w:ind w:left="426" w:right="390"/>
        <w:jc w:val="both"/>
        <w:rPr>
          <w:rFonts w:ascii="Calibri" w:hAnsi="Calibri" w:cs="Calibri"/>
        </w:rPr>
      </w:pPr>
      <w:r w:rsidRPr="00416D70">
        <w:rPr>
          <w:rFonts w:ascii="Calibri" w:hAnsi="Calibri" w:cs="Calibri"/>
        </w:rPr>
        <w:t>Consider a welding extraction system commissioned with a measured airflow rate of 850 m³/hr.</w:t>
      </w:r>
    </w:p>
    <w:p w14:paraId="00611DF4" w14:textId="05AD6EA5" w:rsidR="00416D70" w:rsidRPr="00416D70" w:rsidRDefault="00416D70" w:rsidP="00B7621F">
      <w:pPr>
        <w:spacing w:line="312" w:lineRule="auto"/>
        <w:ind w:left="426" w:right="390"/>
        <w:jc w:val="both"/>
        <w:rPr>
          <w:rFonts w:ascii="Calibri" w:hAnsi="Calibri" w:cs="Calibri"/>
        </w:rPr>
      </w:pPr>
      <w:r w:rsidRPr="00416D70">
        <w:rPr>
          <w:rFonts w:ascii="Calibri" w:hAnsi="Calibri" w:cs="Calibri"/>
        </w:rPr>
        <w:t xml:space="preserve">Annual Thorough Examination and Test (TExT) results over the following five years record airflow measurements ranging between 820 and 870 m³/hr. </w:t>
      </w:r>
      <w:r w:rsidR="00245545">
        <w:rPr>
          <w:rFonts w:ascii="Calibri" w:hAnsi="Calibri" w:cs="Calibri"/>
        </w:rPr>
        <w:t xml:space="preserve"> </w:t>
      </w:r>
      <w:r w:rsidRPr="00416D70">
        <w:rPr>
          <w:rFonts w:ascii="Calibri" w:hAnsi="Calibri" w:cs="Calibri"/>
        </w:rPr>
        <w:t>The system appears stable and consistently achieves values close to the original benchmark.</w:t>
      </w:r>
    </w:p>
    <w:p w14:paraId="6CE8D2E1" w14:textId="77777777" w:rsidR="00416D70" w:rsidRPr="00416D70" w:rsidRDefault="00416D70" w:rsidP="00B7621F">
      <w:pPr>
        <w:spacing w:line="312" w:lineRule="auto"/>
        <w:ind w:left="426" w:right="390"/>
        <w:jc w:val="both"/>
        <w:rPr>
          <w:rFonts w:ascii="Calibri" w:hAnsi="Calibri" w:cs="Calibri"/>
        </w:rPr>
      </w:pPr>
      <w:r w:rsidRPr="00416D70">
        <w:rPr>
          <w:rFonts w:ascii="Calibri" w:hAnsi="Calibri" w:cs="Calibri"/>
        </w:rPr>
        <w:t>From a condition perspective, the system may appear satisfactory.</w:t>
      </w:r>
    </w:p>
    <w:p w14:paraId="7EBA05D4" w14:textId="69DEF034" w:rsidR="00416D70" w:rsidRPr="00416D70" w:rsidRDefault="00E40408" w:rsidP="00B7621F">
      <w:pPr>
        <w:spacing w:line="312" w:lineRule="auto"/>
        <w:ind w:left="426" w:right="390"/>
        <w:jc w:val="both"/>
        <w:rPr>
          <w:rFonts w:ascii="Calibri" w:hAnsi="Calibri" w:cs="Calibri"/>
        </w:rPr>
      </w:pPr>
      <w:r>
        <w:rPr>
          <w:rFonts w:ascii="Calibri" w:hAnsi="Calibri" w:cs="Calibri"/>
          <w:noProof/>
          <w:sz w:val="28"/>
          <w:szCs w:val="28"/>
        </w:rPr>
        <w:lastRenderedPageBreak/>
        <mc:AlternateContent>
          <mc:Choice Requires="wps">
            <w:drawing>
              <wp:anchor distT="0" distB="0" distL="114300" distR="114300" simplePos="0" relativeHeight="251664384" behindDoc="0" locked="0" layoutInCell="1" allowOverlap="1" wp14:anchorId="2B68420B" wp14:editId="3EFC103E">
                <wp:simplePos x="0" y="0"/>
                <wp:positionH relativeFrom="margin">
                  <wp:align>left</wp:align>
                </wp:positionH>
                <wp:positionV relativeFrom="paragraph">
                  <wp:posOffset>-152400</wp:posOffset>
                </wp:positionV>
                <wp:extent cx="6070600" cy="3378200"/>
                <wp:effectExtent l="0" t="0" r="25400" b="12700"/>
                <wp:wrapNone/>
                <wp:docPr id="162867309" name="Rectangle 4"/>
                <wp:cNvGraphicFramePr/>
                <a:graphic xmlns:a="http://schemas.openxmlformats.org/drawingml/2006/main">
                  <a:graphicData uri="http://schemas.microsoft.com/office/word/2010/wordprocessingShape">
                    <wps:wsp>
                      <wps:cNvSpPr/>
                      <wps:spPr>
                        <a:xfrm>
                          <a:off x="0" y="0"/>
                          <a:ext cx="6070600" cy="3378200"/>
                        </a:xfrm>
                        <a:prstGeom prst="rect">
                          <a:avLst/>
                        </a:prstGeom>
                        <a:solidFill>
                          <a:schemeClr val="accent1">
                            <a:alpha val="15000"/>
                          </a:schemeClr>
                        </a:solidFill>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FB848" id="Rectangle 4" o:spid="_x0000_s1026" style="position:absolute;margin-left:0;margin-top:-12pt;width:478pt;height:266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" fillcolor="#156082 [3204]" strokecolor="white [3201]" strokeweight="1.5pt">
                <v:fill opacity="9766f"/>
                <w10:wrap anchorx="margin"/>
              </v:rect>
            </w:pict>
          </mc:Fallback>
        </mc:AlternateContent>
      </w:r>
      <w:r w:rsidR="00416D70" w:rsidRPr="00416D70">
        <w:rPr>
          <w:rFonts w:ascii="Calibri" w:hAnsi="Calibri" w:cs="Calibri"/>
        </w:rPr>
        <w:t>However, if the original commissioning process did not establish that 850 m³/hr was sufficient to achieve effective fume capture under actual operating conditions, the organisation has demonstrated only consistency of performance — not adequacy of control.</w:t>
      </w:r>
    </w:p>
    <w:p w14:paraId="2F2DA156" w14:textId="7DB488F6" w:rsidR="00416D70" w:rsidRPr="00416D70" w:rsidRDefault="007B5D9D" w:rsidP="00B7621F">
      <w:pPr>
        <w:spacing w:line="312" w:lineRule="auto"/>
        <w:ind w:left="426"/>
        <w:jc w:val="both"/>
        <w:rPr>
          <w:rFonts w:ascii="Calibri" w:hAnsi="Calibri" w:cs="Calibri"/>
        </w:rPr>
      </w:pPr>
      <w:r>
        <w:rPr>
          <w:rFonts w:ascii="Calibri" w:hAnsi="Calibri" w:cs="Calibri"/>
        </w:rPr>
        <w:br/>
      </w:r>
      <w:r w:rsidR="00416D70" w:rsidRPr="00416D70">
        <w:rPr>
          <w:rFonts w:ascii="Calibri" w:hAnsi="Calibri" w:cs="Calibri"/>
        </w:rPr>
        <w:t>In this scenario:</w:t>
      </w:r>
    </w:p>
    <w:p w14:paraId="10E10198" w14:textId="77777777" w:rsidR="00AE0A5F" w:rsidRDefault="00AE0A5F" w:rsidP="00AE0A5F">
      <w:pPr>
        <w:spacing w:line="312" w:lineRule="auto"/>
        <w:jc w:val="both"/>
        <w:rPr>
          <w:rFonts w:ascii="Calibri" w:hAnsi="Calibri" w:cs="Calibri"/>
        </w:rPr>
        <w:sectPr w:rsidR="00AE0A5F" w:rsidSect="009B21C6">
          <w:type w:val="continuous"/>
          <w:pgSz w:w="11906" w:h="16838"/>
          <w:pgMar w:top="1440" w:right="1080" w:bottom="1440" w:left="1080" w:header="708" w:footer="708" w:gutter="0"/>
          <w:cols w:space="708"/>
          <w:docGrid w:linePitch="360"/>
        </w:sectPr>
      </w:pPr>
    </w:p>
    <w:p w14:paraId="1F75A5D0" w14:textId="436ABBF2" w:rsidR="00416D70" w:rsidRPr="00AE0A5F" w:rsidRDefault="00416D70" w:rsidP="00B7621F">
      <w:pPr>
        <w:pStyle w:val="ListParagraph"/>
        <w:numPr>
          <w:ilvl w:val="0"/>
          <w:numId w:val="40"/>
        </w:numPr>
        <w:spacing w:line="312" w:lineRule="auto"/>
        <w:ind w:left="993"/>
        <w:rPr>
          <w:rFonts w:ascii="Calibri" w:hAnsi="Calibri" w:cs="Calibri"/>
        </w:rPr>
      </w:pPr>
      <w:r w:rsidRPr="00AE0A5F">
        <w:rPr>
          <w:rFonts w:ascii="Calibri" w:hAnsi="Calibri" w:cs="Calibri"/>
        </w:rPr>
        <w:t>Commissioning established a benchmark value.</w:t>
      </w:r>
    </w:p>
    <w:p w14:paraId="7F66D368" w14:textId="47308D8D" w:rsidR="00416D70" w:rsidRPr="00AE0A5F" w:rsidRDefault="00416D70" w:rsidP="00B7621F">
      <w:pPr>
        <w:pStyle w:val="ListParagraph"/>
        <w:numPr>
          <w:ilvl w:val="0"/>
          <w:numId w:val="40"/>
        </w:numPr>
        <w:spacing w:line="312" w:lineRule="auto"/>
        <w:ind w:left="993"/>
        <w:rPr>
          <w:rFonts w:ascii="Calibri" w:hAnsi="Calibri" w:cs="Calibri"/>
        </w:rPr>
      </w:pPr>
      <w:r w:rsidRPr="00AE0A5F">
        <w:rPr>
          <w:rFonts w:ascii="Calibri" w:hAnsi="Calibri" w:cs="Calibri"/>
        </w:rPr>
        <w:t>TExT confirmed that benchmark was maintained.</w:t>
      </w:r>
    </w:p>
    <w:p w14:paraId="26C93B7D" w14:textId="16D47760" w:rsidR="00416D70" w:rsidRPr="00AE0A5F" w:rsidRDefault="00416D70" w:rsidP="00B7621F">
      <w:pPr>
        <w:pStyle w:val="ListParagraph"/>
        <w:numPr>
          <w:ilvl w:val="0"/>
          <w:numId w:val="40"/>
        </w:numPr>
        <w:spacing w:line="312" w:lineRule="auto"/>
        <w:ind w:left="993"/>
        <w:rPr>
          <w:rFonts w:ascii="Calibri" w:hAnsi="Calibri" w:cs="Calibri"/>
        </w:rPr>
      </w:pPr>
      <w:r w:rsidRPr="00AE0A5F">
        <w:rPr>
          <w:rFonts w:ascii="Calibri" w:hAnsi="Calibri" w:cs="Calibri"/>
        </w:rPr>
        <w:t>Neither activity demonstrated whether the benchmark itself was appropriate.</w:t>
      </w:r>
    </w:p>
    <w:p w14:paraId="2A6214CB" w14:textId="77777777" w:rsidR="00416D70" w:rsidRPr="00AE0A5F" w:rsidRDefault="00416D70" w:rsidP="00B7621F">
      <w:pPr>
        <w:pStyle w:val="ListParagraph"/>
        <w:numPr>
          <w:ilvl w:val="0"/>
          <w:numId w:val="40"/>
        </w:numPr>
        <w:spacing w:line="312" w:lineRule="auto"/>
        <w:ind w:right="408"/>
        <w:rPr>
          <w:rFonts w:ascii="Calibri" w:hAnsi="Calibri" w:cs="Calibri"/>
        </w:rPr>
      </w:pPr>
      <w:r w:rsidRPr="00AE0A5F">
        <w:rPr>
          <w:rFonts w:ascii="Calibri" w:hAnsi="Calibri" w:cs="Calibri"/>
        </w:rPr>
        <w:t>The result is a system that may pass statutory examination for many years whilst exposure control remains uncertain.</w:t>
      </w:r>
    </w:p>
    <w:p w14:paraId="7B12ADB5" w14:textId="77777777" w:rsidR="00245545" w:rsidRPr="00AE0A5F" w:rsidRDefault="00416D70" w:rsidP="00B7621F">
      <w:pPr>
        <w:pStyle w:val="ListParagraph"/>
        <w:numPr>
          <w:ilvl w:val="0"/>
          <w:numId w:val="40"/>
        </w:numPr>
        <w:spacing w:line="312" w:lineRule="auto"/>
        <w:ind w:right="408"/>
        <w:rPr>
          <w:rFonts w:ascii="Calibri" w:hAnsi="Calibri" w:cs="Calibri"/>
        </w:rPr>
      </w:pPr>
      <w:r w:rsidRPr="00AE0A5F">
        <w:rPr>
          <w:rFonts w:ascii="Calibri" w:hAnsi="Calibri" w:cs="Calibri"/>
        </w:rPr>
        <w:t>This illustrates why commissioning must establish capability, not merely record measurements.</w:t>
      </w:r>
    </w:p>
    <w:p w14:paraId="2306E99B" w14:textId="77777777" w:rsidR="00AE0A5F" w:rsidRDefault="00AE0A5F" w:rsidP="00AE0A5F">
      <w:pPr>
        <w:spacing w:line="312" w:lineRule="auto"/>
        <w:jc w:val="both"/>
        <w:rPr>
          <w:rFonts w:ascii="Calibri" w:hAnsi="Calibri" w:cs="Calibri"/>
        </w:rPr>
        <w:sectPr w:rsidR="00AE0A5F" w:rsidSect="00AE0A5F">
          <w:type w:val="continuous"/>
          <w:pgSz w:w="11906" w:h="16838"/>
          <w:pgMar w:top="1440" w:right="1080" w:bottom="1440" w:left="1080" w:header="708" w:footer="708" w:gutter="0"/>
          <w:cols w:num="2" w:space="708"/>
          <w:docGrid w:linePitch="360"/>
        </w:sectPr>
      </w:pPr>
    </w:p>
    <w:p w14:paraId="6C401B0F" w14:textId="10DABED1" w:rsidR="00245545" w:rsidRDefault="00E40408" w:rsidP="00AE0A5F">
      <w:pPr>
        <w:spacing w:line="312" w:lineRule="auto"/>
        <w:jc w:val="both"/>
        <w:rPr>
          <w:rFonts w:ascii="Calibri" w:hAnsi="Calibri" w:cs="Calibri"/>
        </w:rPr>
      </w:pPr>
      <w:r>
        <w:rPr>
          <w:rFonts w:ascii="Calibri" w:hAnsi="Calibri" w:cs="Calibri"/>
          <w:noProof/>
          <w:sz w:val="28"/>
          <w:szCs w:val="28"/>
        </w:rPr>
        <mc:AlternateContent>
          <mc:Choice Requires="wps">
            <w:drawing>
              <wp:anchor distT="0" distB="0" distL="114300" distR="114300" simplePos="0" relativeHeight="251666432" behindDoc="0" locked="0" layoutInCell="1" allowOverlap="1" wp14:anchorId="25871A3B" wp14:editId="7EB22207">
                <wp:simplePos x="0" y="0"/>
                <wp:positionH relativeFrom="margin">
                  <wp:align>left</wp:align>
                </wp:positionH>
                <wp:positionV relativeFrom="paragraph">
                  <wp:posOffset>453390</wp:posOffset>
                </wp:positionV>
                <wp:extent cx="6070600" cy="4946650"/>
                <wp:effectExtent l="0" t="0" r="25400" b="25400"/>
                <wp:wrapNone/>
                <wp:docPr id="1460014047" name="Rectangle 4"/>
                <wp:cNvGraphicFramePr/>
                <a:graphic xmlns:a="http://schemas.openxmlformats.org/drawingml/2006/main">
                  <a:graphicData uri="http://schemas.microsoft.com/office/word/2010/wordprocessingShape">
                    <wps:wsp>
                      <wps:cNvSpPr/>
                      <wps:spPr>
                        <a:xfrm>
                          <a:off x="0" y="0"/>
                          <a:ext cx="6070600" cy="4946650"/>
                        </a:xfrm>
                        <a:prstGeom prst="rect">
                          <a:avLst/>
                        </a:prstGeom>
                        <a:solidFill>
                          <a:schemeClr val="accent1">
                            <a:alpha val="15000"/>
                          </a:schemeClr>
                        </a:solidFill>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8AF15" id="Rectangle 4" o:spid="_x0000_s1026" style="position:absolute;margin-left:0;margin-top:35.7pt;width:478pt;height:389.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" fillcolor="#156082 [3204]" strokecolor="white [3201]" strokeweight="1.5pt">
                <v:fill opacity="9766f"/>
                <w10:wrap anchorx="margin"/>
              </v:rect>
            </w:pict>
          </mc:Fallback>
        </mc:AlternateContent>
      </w:r>
      <w:r>
        <w:rPr>
          <w:rFonts w:ascii="Calibri" w:hAnsi="Calibri" w:cs="Calibri"/>
        </w:rPr>
        <w:br/>
      </w:r>
    </w:p>
    <w:p w14:paraId="5491E698" w14:textId="5BE59039" w:rsidR="00245545" w:rsidRPr="00B669C0" w:rsidRDefault="00245545" w:rsidP="00E40408">
      <w:pPr>
        <w:pStyle w:val="Heading2"/>
        <w:spacing w:after="160" w:line="312" w:lineRule="auto"/>
        <w:ind w:left="284"/>
        <w:jc w:val="both"/>
      </w:pPr>
      <w:bookmarkStart w:id="17" w:name="_Toc231462489"/>
      <w:r w:rsidRPr="00B669C0">
        <w:t xml:space="preserve">Practical </w:t>
      </w:r>
      <w:r w:rsidR="00207543">
        <w:t>Scenario</w:t>
      </w:r>
      <w:r w:rsidRPr="00B669C0">
        <w:t xml:space="preserve"> </w:t>
      </w:r>
      <w:r w:rsidR="00AE0A5F">
        <w:t>(</w:t>
      </w:r>
      <w:r w:rsidRPr="00B669C0">
        <w:t>B</w:t>
      </w:r>
      <w:r w:rsidR="00AE0A5F">
        <w:t xml:space="preserve">) </w:t>
      </w:r>
      <w:r w:rsidRPr="00B669C0">
        <w:t>Woodworking</w:t>
      </w:r>
      <w:bookmarkEnd w:id="17"/>
    </w:p>
    <w:p w14:paraId="7A8C89BC" w14:textId="2D4FDA77" w:rsidR="00245545" w:rsidRPr="00245545" w:rsidRDefault="00245545" w:rsidP="00B7621F">
      <w:pPr>
        <w:spacing w:line="312" w:lineRule="auto"/>
        <w:ind w:left="426" w:right="390"/>
        <w:jc w:val="both"/>
        <w:rPr>
          <w:rFonts w:ascii="Calibri" w:hAnsi="Calibri" w:cs="Calibri"/>
        </w:rPr>
      </w:pPr>
      <w:r w:rsidRPr="00245545">
        <w:rPr>
          <w:rFonts w:ascii="Calibri" w:hAnsi="Calibri" w:cs="Calibri"/>
        </w:rPr>
        <w:t>Consider a woodworking workshop where an LEV system is installed to control hardwood and softwood dust generated by saws, planers and sanders.</w:t>
      </w:r>
    </w:p>
    <w:p w14:paraId="468C8813" w14:textId="7D847958" w:rsidR="00245545" w:rsidRPr="00245545" w:rsidRDefault="00245545" w:rsidP="00B7621F">
      <w:pPr>
        <w:spacing w:line="312" w:lineRule="auto"/>
        <w:ind w:left="426" w:right="390"/>
        <w:jc w:val="both"/>
        <w:rPr>
          <w:rFonts w:ascii="Calibri" w:hAnsi="Calibri" w:cs="Calibri"/>
        </w:rPr>
      </w:pPr>
      <w:r w:rsidRPr="00245545">
        <w:rPr>
          <w:rFonts w:ascii="Calibri" w:hAnsi="Calibri" w:cs="Calibri"/>
        </w:rPr>
        <w:t xml:space="preserve">At commissioning, airflow measurements are recorded and benchmark values established for each extraction point. </w:t>
      </w:r>
      <w:r>
        <w:rPr>
          <w:rFonts w:ascii="Calibri" w:hAnsi="Calibri" w:cs="Calibri"/>
        </w:rPr>
        <w:t xml:space="preserve"> </w:t>
      </w:r>
      <w:r w:rsidRPr="00245545">
        <w:rPr>
          <w:rFonts w:ascii="Calibri" w:hAnsi="Calibri" w:cs="Calibri"/>
        </w:rPr>
        <w:t>The system is handed over and enters routine use.</w:t>
      </w:r>
    </w:p>
    <w:p w14:paraId="604FC4F8" w14:textId="35C1DD61" w:rsidR="00245545" w:rsidRPr="00245545" w:rsidRDefault="00245545" w:rsidP="00B7621F">
      <w:pPr>
        <w:spacing w:line="312" w:lineRule="auto"/>
        <w:ind w:left="426" w:right="390"/>
        <w:jc w:val="both"/>
        <w:rPr>
          <w:rFonts w:ascii="Calibri" w:hAnsi="Calibri" w:cs="Calibri"/>
        </w:rPr>
      </w:pPr>
      <w:r w:rsidRPr="00245545">
        <w:rPr>
          <w:rFonts w:ascii="Calibri" w:hAnsi="Calibri" w:cs="Calibri"/>
        </w:rPr>
        <w:t xml:space="preserve">Over the next </w:t>
      </w:r>
      <w:r>
        <w:rPr>
          <w:rFonts w:ascii="Calibri" w:hAnsi="Calibri" w:cs="Calibri"/>
        </w:rPr>
        <w:t>few</w:t>
      </w:r>
      <w:r w:rsidRPr="00245545">
        <w:rPr>
          <w:rFonts w:ascii="Calibri" w:hAnsi="Calibri" w:cs="Calibri"/>
        </w:rPr>
        <w:t xml:space="preserve"> years, statutory Thorough Examination and Test (TExT) results demonstrate that airflow remains close to the original commissioning values. The system therefore appears to be operating as intended.</w:t>
      </w:r>
    </w:p>
    <w:p w14:paraId="2C192456" w14:textId="24C67B45" w:rsidR="00245545" w:rsidRPr="00245545" w:rsidRDefault="00245545" w:rsidP="00B7621F">
      <w:pPr>
        <w:spacing w:line="312" w:lineRule="auto"/>
        <w:ind w:left="426" w:right="390"/>
        <w:jc w:val="both"/>
        <w:rPr>
          <w:rFonts w:ascii="Calibri" w:hAnsi="Calibri" w:cs="Calibri"/>
        </w:rPr>
      </w:pPr>
      <w:r w:rsidRPr="00245545">
        <w:rPr>
          <w:rFonts w:ascii="Calibri" w:hAnsi="Calibri" w:cs="Calibri"/>
        </w:rPr>
        <w:t>However, subsequent investigation identifies significant dust deposition around one of the sanding processes, with visible dust escaping the capture zone during normal operation.</w:t>
      </w:r>
    </w:p>
    <w:p w14:paraId="4DF484E4" w14:textId="794FEAB2" w:rsidR="00245545" w:rsidRPr="00245545" w:rsidRDefault="00245545" w:rsidP="00B7621F">
      <w:pPr>
        <w:spacing w:line="312" w:lineRule="auto"/>
        <w:ind w:left="426" w:right="390"/>
        <w:jc w:val="both"/>
        <w:rPr>
          <w:rFonts w:ascii="Calibri" w:hAnsi="Calibri" w:cs="Calibri"/>
        </w:rPr>
      </w:pPr>
      <w:r w:rsidRPr="00245545">
        <w:rPr>
          <w:rFonts w:ascii="Calibri" w:hAnsi="Calibri" w:cs="Calibri"/>
        </w:rPr>
        <w:t xml:space="preserve">Further review reveals that although the system has consistently achieved its benchmark airflow, the original commissioning process did not adequately assess hood </w:t>
      </w:r>
      <w:r>
        <w:rPr>
          <w:rFonts w:ascii="Calibri" w:hAnsi="Calibri" w:cs="Calibri"/>
        </w:rPr>
        <w:t>control effectiveness</w:t>
      </w:r>
      <w:r w:rsidRPr="00245545">
        <w:rPr>
          <w:rFonts w:ascii="Calibri" w:hAnsi="Calibri" w:cs="Calibri"/>
        </w:rPr>
        <w:t>.</w:t>
      </w:r>
    </w:p>
    <w:p w14:paraId="2C98C5EA" w14:textId="1F2D65AC" w:rsidR="00245545" w:rsidRPr="00245545" w:rsidRDefault="00245545" w:rsidP="00B7621F">
      <w:pPr>
        <w:spacing w:line="312" w:lineRule="auto"/>
        <w:ind w:left="426" w:right="390"/>
        <w:jc w:val="both"/>
        <w:rPr>
          <w:rFonts w:ascii="Calibri" w:hAnsi="Calibri" w:cs="Calibri"/>
        </w:rPr>
      </w:pPr>
      <w:r w:rsidRPr="00245545">
        <w:rPr>
          <w:rFonts w:ascii="Calibri" w:hAnsi="Calibri" w:cs="Calibri"/>
        </w:rPr>
        <w:t>In this scenario:</w:t>
      </w:r>
    </w:p>
    <w:p w14:paraId="117B618D" w14:textId="77777777" w:rsidR="007B5D9D" w:rsidRDefault="007B5D9D" w:rsidP="00AE0A5F">
      <w:pPr>
        <w:spacing w:line="312" w:lineRule="auto"/>
        <w:jc w:val="both"/>
        <w:rPr>
          <w:rFonts w:ascii="Calibri" w:hAnsi="Calibri" w:cs="Calibri"/>
        </w:rPr>
        <w:sectPr w:rsidR="007B5D9D" w:rsidSect="009B21C6">
          <w:type w:val="continuous"/>
          <w:pgSz w:w="11906" w:h="16838"/>
          <w:pgMar w:top="1440" w:right="1080" w:bottom="1440" w:left="1080" w:header="708" w:footer="708" w:gutter="0"/>
          <w:cols w:space="708"/>
          <w:docGrid w:linePitch="360"/>
        </w:sectPr>
      </w:pPr>
    </w:p>
    <w:p w14:paraId="5F5C1505" w14:textId="7859C06E" w:rsidR="00245545" w:rsidRPr="007B5D9D" w:rsidRDefault="00245545" w:rsidP="00E40408">
      <w:pPr>
        <w:pStyle w:val="ListParagraph"/>
        <w:numPr>
          <w:ilvl w:val="0"/>
          <w:numId w:val="41"/>
        </w:numPr>
        <w:spacing w:line="312" w:lineRule="auto"/>
        <w:ind w:left="1134"/>
        <w:rPr>
          <w:rFonts w:ascii="Calibri" w:hAnsi="Calibri" w:cs="Calibri"/>
        </w:rPr>
      </w:pPr>
      <w:r w:rsidRPr="007B5D9D">
        <w:rPr>
          <w:rFonts w:ascii="Calibri" w:hAnsi="Calibri" w:cs="Calibri"/>
        </w:rPr>
        <w:t>The LEV system was operating consistently.</w:t>
      </w:r>
    </w:p>
    <w:p w14:paraId="6A9F5C85" w14:textId="37D90428" w:rsidR="00245545" w:rsidRPr="007B5D9D" w:rsidRDefault="00245545" w:rsidP="00E40408">
      <w:pPr>
        <w:pStyle w:val="ListParagraph"/>
        <w:numPr>
          <w:ilvl w:val="0"/>
          <w:numId w:val="41"/>
        </w:numPr>
        <w:spacing w:line="312" w:lineRule="auto"/>
        <w:ind w:left="426" w:right="550" w:hanging="426"/>
        <w:rPr>
          <w:rFonts w:ascii="Calibri" w:hAnsi="Calibri" w:cs="Calibri"/>
        </w:rPr>
      </w:pPr>
      <w:r w:rsidRPr="007B5D9D">
        <w:rPr>
          <w:rFonts w:ascii="Calibri" w:hAnsi="Calibri" w:cs="Calibri"/>
        </w:rPr>
        <w:t>TExT confirmed that performance remained stable.</w:t>
      </w:r>
      <w:r w:rsidR="00207543">
        <w:rPr>
          <w:rFonts w:ascii="Calibri" w:hAnsi="Calibri" w:cs="Calibri"/>
        </w:rPr>
        <w:br/>
      </w:r>
    </w:p>
    <w:p w14:paraId="7EAD563F" w14:textId="0D3E500F" w:rsidR="00245545" w:rsidRPr="007B5D9D" w:rsidRDefault="00E40408" w:rsidP="00E40408">
      <w:pPr>
        <w:pStyle w:val="ListParagraph"/>
        <w:numPr>
          <w:ilvl w:val="0"/>
          <w:numId w:val="41"/>
        </w:numPr>
        <w:spacing w:line="312" w:lineRule="auto"/>
        <w:ind w:left="1134" w:right="-159"/>
        <w:rPr>
          <w:rFonts w:ascii="Calibri" w:hAnsi="Calibri" w:cs="Calibri"/>
        </w:rPr>
      </w:pPr>
      <w:r>
        <w:rPr>
          <w:rFonts w:ascii="Calibri" w:hAnsi="Calibri" w:cs="Calibri"/>
          <w:noProof/>
          <w:sz w:val="28"/>
          <w:szCs w:val="28"/>
        </w:rPr>
        <w:lastRenderedPageBreak/>
        <mc:AlternateContent>
          <mc:Choice Requires="wps">
            <w:drawing>
              <wp:anchor distT="0" distB="0" distL="114300" distR="114300" simplePos="0" relativeHeight="251668480" behindDoc="0" locked="0" layoutInCell="1" allowOverlap="1" wp14:anchorId="53DFEEA3" wp14:editId="348C2BB5">
                <wp:simplePos x="0" y="0"/>
                <wp:positionH relativeFrom="margin">
                  <wp:align>left</wp:align>
                </wp:positionH>
                <wp:positionV relativeFrom="paragraph">
                  <wp:posOffset>-177800</wp:posOffset>
                </wp:positionV>
                <wp:extent cx="6070600" cy="2178050"/>
                <wp:effectExtent l="0" t="0" r="25400" b="12700"/>
                <wp:wrapNone/>
                <wp:docPr id="1670064957" name="Rectangle 4"/>
                <wp:cNvGraphicFramePr/>
                <a:graphic xmlns:a="http://schemas.openxmlformats.org/drawingml/2006/main">
                  <a:graphicData uri="http://schemas.microsoft.com/office/word/2010/wordprocessingShape">
                    <wps:wsp>
                      <wps:cNvSpPr/>
                      <wps:spPr>
                        <a:xfrm>
                          <a:off x="0" y="0"/>
                          <a:ext cx="6070600" cy="2178050"/>
                        </a:xfrm>
                        <a:prstGeom prst="rect">
                          <a:avLst/>
                        </a:prstGeom>
                        <a:solidFill>
                          <a:schemeClr val="accent1">
                            <a:alpha val="15000"/>
                          </a:schemeClr>
                        </a:solidFill>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F50BA" id="Rectangle 4" o:spid="_x0000_s1026" style="position:absolute;margin-left:0;margin-top:-14pt;width:478pt;height:171.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" fillcolor="#156082 [3204]" strokecolor="white [3201]" strokeweight="1.5pt">
                <v:fill opacity="9766f"/>
                <w10:wrap anchorx="margin"/>
              </v:rect>
            </w:pict>
          </mc:Fallback>
        </mc:AlternateContent>
      </w:r>
      <w:r w:rsidR="00245545" w:rsidRPr="007B5D9D">
        <w:rPr>
          <w:rFonts w:ascii="Calibri" w:hAnsi="Calibri" w:cs="Calibri"/>
        </w:rPr>
        <w:t>Benchmark values were maintained.</w:t>
      </w:r>
    </w:p>
    <w:p w14:paraId="5AD2995C" w14:textId="77777777" w:rsidR="00245545" w:rsidRPr="007B5D9D" w:rsidRDefault="00245545" w:rsidP="00E40408">
      <w:pPr>
        <w:pStyle w:val="ListParagraph"/>
        <w:numPr>
          <w:ilvl w:val="0"/>
          <w:numId w:val="41"/>
        </w:numPr>
        <w:spacing w:line="312" w:lineRule="auto"/>
        <w:ind w:left="426" w:right="550" w:hanging="426"/>
        <w:rPr>
          <w:rFonts w:ascii="Calibri" w:hAnsi="Calibri" w:cs="Calibri"/>
        </w:rPr>
      </w:pPr>
      <w:r w:rsidRPr="007B5D9D">
        <w:rPr>
          <w:rFonts w:ascii="Calibri" w:hAnsi="Calibri" w:cs="Calibri"/>
        </w:rPr>
        <w:t>Effective contaminant control had not been adequately demonstrated.</w:t>
      </w:r>
    </w:p>
    <w:p w14:paraId="455A25B4" w14:textId="77777777" w:rsidR="007B5D9D" w:rsidRDefault="007B5D9D" w:rsidP="00AE0A5F">
      <w:pPr>
        <w:spacing w:line="312" w:lineRule="auto"/>
        <w:jc w:val="both"/>
        <w:rPr>
          <w:rFonts w:ascii="Calibri" w:hAnsi="Calibri" w:cs="Calibri"/>
        </w:rPr>
        <w:sectPr w:rsidR="007B5D9D" w:rsidSect="007B5D9D">
          <w:type w:val="continuous"/>
          <w:pgSz w:w="11906" w:h="16838"/>
          <w:pgMar w:top="1440" w:right="1080" w:bottom="1440" w:left="1080" w:header="708" w:footer="708" w:gutter="0"/>
          <w:cols w:num="2" w:space="708"/>
          <w:docGrid w:linePitch="360"/>
        </w:sectPr>
      </w:pPr>
    </w:p>
    <w:p w14:paraId="59EBEC82" w14:textId="7E00B7C5" w:rsidR="00245545" w:rsidRPr="00245545" w:rsidRDefault="00245545" w:rsidP="00E40408">
      <w:pPr>
        <w:spacing w:line="312" w:lineRule="auto"/>
        <w:ind w:left="426" w:right="390"/>
        <w:jc w:val="both"/>
        <w:rPr>
          <w:rFonts w:ascii="Calibri" w:hAnsi="Calibri" w:cs="Calibri"/>
        </w:rPr>
      </w:pPr>
      <w:r w:rsidRPr="00245545">
        <w:rPr>
          <w:rFonts w:ascii="Calibri" w:hAnsi="Calibri" w:cs="Calibri"/>
        </w:rPr>
        <w:t>The organisation therefore possessed evidence of system condition, but limited evidence of actual exposure control capability.</w:t>
      </w:r>
    </w:p>
    <w:p w14:paraId="5564C350" w14:textId="47EA9D2F" w:rsidR="005608AB" w:rsidRDefault="00245545" w:rsidP="00E40408">
      <w:pPr>
        <w:spacing w:line="312" w:lineRule="auto"/>
        <w:ind w:left="426" w:right="390"/>
        <w:jc w:val="both"/>
        <w:rPr>
          <w:rFonts w:ascii="Calibri" w:hAnsi="Calibri" w:cs="Calibri"/>
        </w:rPr>
      </w:pPr>
      <w:r w:rsidRPr="00245545">
        <w:rPr>
          <w:rFonts w:ascii="Calibri" w:hAnsi="Calibri" w:cs="Calibri"/>
        </w:rPr>
        <w:t>This illustrates that commissioning must verify not only that air is moving through a system, but that the engineering control achieves its intended purpose under real operating conditions.</w:t>
      </w:r>
    </w:p>
    <w:p w14:paraId="312599AA" w14:textId="657A57B1" w:rsidR="007B5D9D" w:rsidRDefault="007B5D9D" w:rsidP="00AE0A5F">
      <w:pPr>
        <w:spacing w:line="312" w:lineRule="auto"/>
        <w:jc w:val="both"/>
        <w:rPr>
          <w:rFonts w:ascii="Calibri" w:hAnsi="Calibri" w:cs="Calibri"/>
        </w:rPr>
      </w:pPr>
    </w:p>
    <w:p w14:paraId="00C4178E" w14:textId="147A8B0C" w:rsidR="005E1E11" w:rsidRPr="00B669C0" w:rsidRDefault="003E258F" w:rsidP="00AE0A5F">
      <w:pPr>
        <w:pStyle w:val="Heading2"/>
        <w:spacing w:after="160" w:line="312" w:lineRule="auto"/>
        <w:jc w:val="both"/>
      </w:pPr>
      <w:bookmarkStart w:id="18" w:name="_Toc231462490"/>
      <w:r w:rsidRPr="00B669C0">
        <w:t>3</w:t>
      </w:r>
      <w:r w:rsidR="005E1E11" w:rsidRPr="00B669C0">
        <w:t>.5 Benchmarking and Performance Baseline</w:t>
      </w:r>
      <w:bookmarkEnd w:id="18"/>
    </w:p>
    <w:p w14:paraId="7DC8583B" w14:textId="700D46A0" w:rsidR="005E1E11" w:rsidRPr="005E1E11" w:rsidRDefault="005E1E11" w:rsidP="007B0A46">
      <w:pPr>
        <w:spacing w:line="312" w:lineRule="auto"/>
        <w:ind w:left="142"/>
        <w:jc w:val="both"/>
        <w:rPr>
          <w:rFonts w:ascii="Calibri" w:hAnsi="Calibri" w:cs="Calibri"/>
        </w:rPr>
      </w:pPr>
      <w:r w:rsidRPr="005E1E11">
        <w:rPr>
          <w:rFonts w:ascii="Calibri" w:hAnsi="Calibri" w:cs="Calibri"/>
        </w:rPr>
        <w:t>A defensible commissioning process produces:</w:t>
      </w:r>
    </w:p>
    <w:p w14:paraId="09EDD1BD" w14:textId="42BCBC8F" w:rsidR="005E1E11" w:rsidRPr="00C10C9B" w:rsidRDefault="005E1E11" w:rsidP="00AE0A5F">
      <w:pPr>
        <w:pStyle w:val="ListParagraph"/>
        <w:numPr>
          <w:ilvl w:val="0"/>
          <w:numId w:val="14"/>
        </w:numPr>
        <w:spacing w:line="312" w:lineRule="auto"/>
        <w:jc w:val="both"/>
        <w:rPr>
          <w:rFonts w:ascii="Calibri" w:hAnsi="Calibri" w:cs="Calibri"/>
        </w:rPr>
      </w:pPr>
      <w:r w:rsidRPr="00C10C9B">
        <w:rPr>
          <w:rFonts w:ascii="Calibri" w:hAnsi="Calibri" w:cs="Calibri"/>
        </w:rPr>
        <w:t xml:space="preserve">Documented benchmark airflow rates </w:t>
      </w:r>
    </w:p>
    <w:p w14:paraId="0393F9E2" w14:textId="1CEE01F6" w:rsidR="005E1E11" w:rsidRPr="00C10C9B" w:rsidRDefault="005E1E11" w:rsidP="00AE0A5F">
      <w:pPr>
        <w:pStyle w:val="ListParagraph"/>
        <w:numPr>
          <w:ilvl w:val="0"/>
          <w:numId w:val="14"/>
        </w:numPr>
        <w:spacing w:line="312" w:lineRule="auto"/>
        <w:jc w:val="both"/>
        <w:rPr>
          <w:rFonts w:ascii="Calibri" w:hAnsi="Calibri" w:cs="Calibri"/>
        </w:rPr>
      </w:pPr>
      <w:r w:rsidRPr="00C10C9B">
        <w:rPr>
          <w:rFonts w:ascii="Calibri" w:hAnsi="Calibri" w:cs="Calibri"/>
        </w:rPr>
        <w:t xml:space="preserve">Defined static pressure references </w:t>
      </w:r>
    </w:p>
    <w:p w14:paraId="5EE60BBF" w14:textId="6DDDF57A" w:rsidR="005E1E11" w:rsidRPr="00C10C9B" w:rsidRDefault="005E1E11" w:rsidP="00AE0A5F">
      <w:pPr>
        <w:pStyle w:val="ListParagraph"/>
        <w:numPr>
          <w:ilvl w:val="0"/>
          <w:numId w:val="14"/>
        </w:numPr>
        <w:spacing w:line="312" w:lineRule="auto"/>
        <w:jc w:val="both"/>
        <w:rPr>
          <w:rFonts w:ascii="Calibri" w:hAnsi="Calibri" w:cs="Calibri"/>
        </w:rPr>
      </w:pPr>
      <w:r w:rsidRPr="00C10C9B">
        <w:rPr>
          <w:rFonts w:ascii="Calibri" w:hAnsi="Calibri" w:cs="Calibri"/>
        </w:rPr>
        <w:t xml:space="preserve">Identified acceptable tolerance ranges </w:t>
      </w:r>
    </w:p>
    <w:p w14:paraId="09749F42" w14:textId="38A98515" w:rsidR="00C10C9B" w:rsidRDefault="005E1E11" w:rsidP="00AE0A5F">
      <w:pPr>
        <w:pStyle w:val="ListParagraph"/>
        <w:numPr>
          <w:ilvl w:val="0"/>
          <w:numId w:val="14"/>
        </w:numPr>
        <w:spacing w:line="312" w:lineRule="auto"/>
        <w:jc w:val="both"/>
        <w:rPr>
          <w:rFonts w:ascii="Calibri" w:hAnsi="Calibri" w:cs="Calibri"/>
        </w:rPr>
      </w:pPr>
      <w:r w:rsidRPr="00C10C9B">
        <w:rPr>
          <w:rFonts w:ascii="Calibri" w:hAnsi="Calibri" w:cs="Calibri"/>
        </w:rPr>
        <w:t>Clear statement of system limitations</w:t>
      </w:r>
    </w:p>
    <w:p w14:paraId="3A5D8484" w14:textId="195AD52B" w:rsidR="005E1E11" w:rsidRPr="00C10C9B" w:rsidRDefault="00C10C9B" w:rsidP="00AE0A5F">
      <w:pPr>
        <w:pStyle w:val="ListParagraph"/>
        <w:numPr>
          <w:ilvl w:val="0"/>
          <w:numId w:val="14"/>
        </w:numPr>
        <w:spacing w:line="312" w:lineRule="auto"/>
        <w:jc w:val="both"/>
        <w:rPr>
          <w:rFonts w:ascii="Calibri" w:hAnsi="Calibri" w:cs="Calibri"/>
        </w:rPr>
      </w:pPr>
      <w:r>
        <w:rPr>
          <w:rFonts w:ascii="Calibri" w:hAnsi="Calibri" w:cs="Calibri"/>
        </w:rPr>
        <w:t xml:space="preserve">Proof that the systems adequately </w:t>
      </w:r>
      <w:proofErr w:type="gramStart"/>
      <w:r>
        <w:rPr>
          <w:rFonts w:ascii="Calibri" w:hAnsi="Calibri" w:cs="Calibri"/>
        </w:rPr>
        <w:t>controls</w:t>
      </w:r>
      <w:proofErr w:type="gramEnd"/>
      <w:r>
        <w:rPr>
          <w:rFonts w:ascii="Calibri" w:hAnsi="Calibri" w:cs="Calibri"/>
        </w:rPr>
        <w:t xml:space="preserve"> contaminant exposure</w:t>
      </w:r>
      <w:r w:rsidR="005E1E11" w:rsidRPr="00C10C9B">
        <w:rPr>
          <w:rFonts w:ascii="Calibri" w:hAnsi="Calibri" w:cs="Calibri"/>
        </w:rPr>
        <w:t xml:space="preserve"> </w:t>
      </w:r>
    </w:p>
    <w:p w14:paraId="30B18589" w14:textId="77777777" w:rsidR="005E1E11" w:rsidRPr="005E1E11" w:rsidRDefault="005E1E11" w:rsidP="007B0A46">
      <w:pPr>
        <w:spacing w:line="312" w:lineRule="auto"/>
        <w:ind w:left="142"/>
        <w:jc w:val="both"/>
        <w:rPr>
          <w:rFonts w:ascii="Calibri" w:hAnsi="Calibri" w:cs="Calibri"/>
        </w:rPr>
      </w:pPr>
      <w:r w:rsidRPr="005E1E11">
        <w:rPr>
          <w:rFonts w:ascii="Calibri" w:hAnsi="Calibri" w:cs="Calibri"/>
        </w:rPr>
        <w:t>These benchmark values allow:</w:t>
      </w:r>
    </w:p>
    <w:p w14:paraId="255C9A7C" w14:textId="2DE99E2A" w:rsidR="005E1E11" w:rsidRPr="00C10C9B" w:rsidRDefault="005E1E11" w:rsidP="00AE0A5F">
      <w:pPr>
        <w:pStyle w:val="ListParagraph"/>
        <w:numPr>
          <w:ilvl w:val="0"/>
          <w:numId w:val="15"/>
        </w:numPr>
        <w:spacing w:line="312" w:lineRule="auto"/>
        <w:jc w:val="both"/>
        <w:rPr>
          <w:rFonts w:ascii="Calibri" w:hAnsi="Calibri" w:cs="Calibri"/>
        </w:rPr>
      </w:pPr>
      <w:r w:rsidRPr="00C10C9B">
        <w:rPr>
          <w:rFonts w:ascii="Calibri" w:hAnsi="Calibri" w:cs="Calibri"/>
        </w:rPr>
        <w:t xml:space="preserve">Meaningful comparison during TExT </w:t>
      </w:r>
    </w:p>
    <w:p w14:paraId="6C9F45FC" w14:textId="301D5530" w:rsidR="005E1E11" w:rsidRPr="00C10C9B" w:rsidRDefault="005E1E11" w:rsidP="00AE0A5F">
      <w:pPr>
        <w:pStyle w:val="ListParagraph"/>
        <w:numPr>
          <w:ilvl w:val="0"/>
          <w:numId w:val="15"/>
        </w:numPr>
        <w:spacing w:line="312" w:lineRule="auto"/>
        <w:jc w:val="both"/>
        <w:rPr>
          <w:rFonts w:ascii="Calibri" w:hAnsi="Calibri" w:cs="Calibri"/>
        </w:rPr>
      </w:pPr>
      <w:r w:rsidRPr="00C10C9B">
        <w:rPr>
          <w:rFonts w:ascii="Calibri" w:hAnsi="Calibri" w:cs="Calibri"/>
        </w:rPr>
        <w:t xml:space="preserve">Identification of performance drift </w:t>
      </w:r>
    </w:p>
    <w:p w14:paraId="354CC491" w14:textId="41EA5293" w:rsidR="005E1E11" w:rsidRPr="00C10C9B" w:rsidRDefault="005E1E11" w:rsidP="00AE0A5F">
      <w:pPr>
        <w:pStyle w:val="ListParagraph"/>
        <w:numPr>
          <w:ilvl w:val="0"/>
          <w:numId w:val="15"/>
        </w:numPr>
        <w:spacing w:line="312" w:lineRule="auto"/>
        <w:jc w:val="both"/>
        <w:rPr>
          <w:rFonts w:ascii="Calibri" w:hAnsi="Calibri" w:cs="Calibri"/>
        </w:rPr>
      </w:pPr>
      <w:r w:rsidRPr="00C10C9B">
        <w:rPr>
          <w:rFonts w:ascii="Calibri" w:hAnsi="Calibri" w:cs="Calibri"/>
        </w:rPr>
        <w:t xml:space="preserve">Trigger points for intervention </w:t>
      </w:r>
    </w:p>
    <w:p w14:paraId="5812DF1C" w14:textId="39B3B2C1" w:rsidR="005E1E11" w:rsidRPr="005E1E11" w:rsidRDefault="005E1E11" w:rsidP="007B0A46">
      <w:pPr>
        <w:spacing w:line="312" w:lineRule="auto"/>
        <w:ind w:left="142"/>
        <w:jc w:val="both"/>
        <w:rPr>
          <w:rFonts w:ascii="Calibri" w:hAnsi="Calibri" w:cs="Calibri"/>
        </w:rPr>
      </w:pPr>
      <w:r w:rsidRPr="005E1E11">
        <w:rPr>
          <w:rFonts w:ascii="Calibri" w:hAnsi="Calibri" w:cs="Calibri"/>
        </w:rPr>
        <w:t>Without benchmarking, annual testing becomes a comparative exercise without a defined starting point.</w:t>
      </w:r>
    </w:p>
    <w:p w14:paraId="495AEF95" w14:textId="77777777" w:rsidR="00C10C9B" w:rsidRDefault="00C10C9B" w:rsidP="00AE0A5F">
      <w:pPr>
        <w:spacing w:line="312" w:lineRule="auto"/>
        <w:jc w:val="both"/>
        <w:rPr>
          <w:rFonts w:ascii="Calibri" w:hAnsi="Calibri" w:cs="Calibri"/>
        </w:rPr>
      </w:pPr>
    </w:p>
    <w:p w14:paraId="67062171" w14:textId="40A5FA99" w:rsidR="005E1E11" w:rsidRPr="00B669C0" w:rsidRDefault="003E258F" w:rsidP="00AE0A5F">
      <w:pPr>
        <w:pStyle w:val="Heading2"/>
        <w:spacing w:after="160" w:line="312" w:lineRule="auto"/>
        <w:jc w:val="both"/>
      </w:pPr>
      <w:bookmarkStart w:id="19" w:name="_Toc231462491"/>
      <w:r w:rsidRPr="00B669C0">
        <w:t>3</w:t>
      </w:r>
      <w:r w:rsidR="005E1E11" w:rsidRPr="00B669C0">
        <w:t xml:space="preserve">.6 </w:t>
      </w:r>
      <w:r w:rsidR="00C10C9B" w:rsidRPr="00B669C0">
        <w:t xml:space="preserve"> </w:t>
      </w:r>
      <w:r w:rsidR="005E1E11" w:rsidRPr="00B669C0">
        <w:t>Re-Commissioning Triggers</w:t>
      </w:r>
      <w:bookmarkEnd w:id="19"/>
    </w:p>
    <w:p w14:paraId="713DD7F2" w14:textId="77777777" w:rsidR="005E1E11" w:rsidRPr="005E1E11" w:rsidRDefault="005E1E11" w:rsidP="007B0A46">
      <w:pPr>
        <w:spacing w:line="312" w:lineRule="auto"/>
        <w:ind w:left="142"/>
        <w:jc w:val="both"/>
        <w:rPr>
          <w:rFonts w:ascii="Calibri" w:hAnsi="Calibri" w:cs="Calibri"/>
        </w:rPr>
      </w:pPr>
      <w:r w:rsidRPr="005E1E11">
        <w:rPr>
          <w:rFonts w:ascii="Calibri" w:hAnsi="Calibri" w:cs="Calibri"/>
        </w:rPr>
        <w:t>Commissioning is not a one-off event if system conditions change.</w:t>
      </w:r>
    </w:p>
    <w:p w14:paraId="6C924E54" w14:textId="798E069E" w:rsidR="005E1E11" w:rsidRPr="005E1E11" w:rsidRDefault="005E1E11" w:rsidP="007B0A46">
      <w:pPr>
        <w:spacing w:line="312" w:lineRule="auto"/>
        <w:ind w:left="142"/>
        <w:jc w:val="both"/>
        <w:rPr>
          <w:rFonts w:ascii="Calibri" w:hAnsi="Calibri" w:cs="Calibri"/>
        </w:rPr>
      </w:pPr>
      <w:r w:rsidRPr="005E1E11">
        <w:rPr>
          <w:rFonts w:ascii="Calibri" w:hAnsi="Calibri" w:cs="Calibri"/>
        </w:rPr>
        <w:t xml:space="preserve">Re-commissioning should be considered </w:t>
      </w:r>
      <w:proofErr w:type="gramStart"/>
      <w:r w:rsidRPr="005E1E11">
        <w:rPr>
          <w:rFonts w:ascii="Calibri" w:hAnsi="Calibri" w:cs="Calibri"/>
        </w:rPr>
        <w:t>where</w:t>
      </w:r>
      <w:proofErr w:type="gramEnd"/>
      <w:r w:rsidR="00C10C9B">
        <w:rPr>
          <w:rFonts w:ascii="Calibri" w:hAnsi="Calibri" w:cs="Calibri"/>
        </w:rPr>
        <w:t>, for example</w:t>
      </w:r>
      <w:r w:rsidRPr="005E1E11">
        <w:rPr>
          <w:rFonts w:ascii="Calibri" w:hAnsi="Calibri" w:cs="Calibri"/>
        </w:rPr>
        <w:t>:</w:t>
      </w:r>
    </w:p>
    <w:p w14:paraId="43D3F09D" w14:textId="43A241AB" w:rsidR="005E1E11" w:rsidRPr="00C10C9B" w:rsidRDefault="005E1E11" w:rsidP="00AE0A5F">
      <w:pPr>
        <w:pStyle w:val="ListParagraph"/>
        <w:numPr>
          <w:ilvl w:val="0"/>
          <w:numId w:val="16"/>
        </w:numPr>
        <w:spacing w:line="312" w:lineRule="auto"/>
        <w:jc w:val="both"/>
        <w:rPr>
          <w:rFonts w:ascii="Calibri" w:hAnsi="Calibri" w:cs="Calibri"/>
        </w:rPr>
      </w:pPr>
      <w:r w:rsidRPr="00C10C9B">
        <w:rPr>
          <w:rFonts w:ascii="Calibri" w:hAnsi="Calibri" w:cs="Calibri"/>
        </w:rPr>
        <w:t xml:space="preserve">Significant process change alters contaminant </w:t>
      </w:r>
      <w:r w:rsidR="00C10C9B">
        <w:rPr>
          <w:rFonts w:ascii="Calibri" w:hAnsi="Calibri" w:cs="Calibri"/>
        </w:rPr>
        <w:t xml:space="preserve">emission </w:t>
      </w:r>
      <w:r w:rsidRPr="00C10C9B">
        <w:rPr>
          <w:rFonts w:ascii="Calibri" w:hAnsi="Calibri" w:cs="Calibri"/>
        </w:rPr>
        <w:t xml:space="preserve">profile </w:t>
      </w:r>
    </w:p>
    <w:p w14:paraId="34C299DE" w14:textId="4B58C5FE" w:rsidR="005E1E11" w:rsidRPr="00C10C9B" w:rsidRDefault="005E1E11" w:rsidP="00AE0A5F">
      <w:pPr>
        <w:pStyle w:val="ListParagraph"/>
        <w:numPr>
          <w:ilvl w:val="0"/>
          <w:numId w:val="16"/>
        </w:numPr>
        <w:spacing w:line="312" w:lineRule="auto"/>
        <w:jc w:val="both"/>
        <w:rPr>
          <w:rFonts w:ascii="Calibri" w:hAnsi="Calibri" w:cs="Calibri"/>
        </w:rPr>
      </w:pPr>
      <w:r w:rsidRPr="00C10C9B">
        <w:rPr>
          <w:rFonts w:ascii="Calibri" w:hAnsi="Calibri" w:cs="Calibri"/>
        </w:rPr>
        <w:t xml:space="preserve">Ductwork is modified </w:t>
      </w:r>
    </w:p>
    <w:p w14:paraId="2895A388" w14:textId="39D4492C" w:rsidR="005E1E11" w:rsidRPr="00C10C9B" w:rsidRDefault="005E1E11" w:rsidP="00AE0A5F">
      <w:pPr>
        <w:pStyle w:val="ListParagraph"/>
        <w:numPr>
          <w:ilvl w:val="0"/>
          <w:numId w:val="16"/>
        </w:numPr>
        <w:spacing w:line="312" w:lineRule="auto"/>
        <w:jc w:val="both"/>
        <w:rPr>
          <w:rFonts w:ascii="Calibri" w:hAnsi="Calibri" w:cs="Calibri"/>
        </w:rPr>
      </w:pPr>
      <w:r w:rsidRPr="00C10C9B">
        <w:rPr>
          <w:rFonts w:ascii="Calibri" w:hAnsi="Calibri" w:cs="Calibri"/>
        </w:rPr>
        <w:t xml:space="preserve">Fan replacement alters duty </w:t>
      </w:r>
    </w:p>
    <w:p w14:paraId="0FAF4FA2" w14:textId="6AAC244F" w:rsidR="005E1E11" w:rsidRPr="00C10C9B" w:rsidRDefault="005E1E11" w:rsidP="00AE0A5F">
      <w:pPr>
        <w:pStyle w:val="ListParagraph"/>
        <w:numPr>
          <w:ilvl w:val="0"/>
          <w:numId w:val="16"/>
        </w:numPr>
        <w:spacing w:line="312" w:lineRule="auto"/>
        <w:jc w:val="both"/>
        <w:rPr>
          <w:rFonts w:ascii="Calibri" w:hAnsi="Calibri" w:cs="Calibri"/>
        </w:rPr>
      </w:pPr>
      <w:r w:rsidRPr="00C10C9B">
        <w:rPr>
          <w:rFonts w:ascii="Calibri" w:hAnsi="Calibri" w:cs="Calibri"/>
        </w:rPr>
        <w:t xml:space="preserve">Additional branches are introduced </w:t>
      </w:r>
    </w:p>
    <w:p w14:paraId="538EA84E" w14:textId="1C3C1519" w:rsidR="005E1E11" w:rsidRPr="00C10C9B" w:rsidRDefault="005E1E11" w:rsidP="00AE0A5F">
      <w:pPr>
        <w:pStyle w:val="ListParagraph"/>
        <w:numPr>
          <w:ilvl w:val="0"/>
          <w:numId w:val="16"/>
        </w:numPr>
        <w:spacing w:line="312" w:lineRule="auto"/>
        <w:jc w:val="both"/>
        <w:rPr>
          <w:rFonts w:ascii="Calibri" w:hAnsi="Calibri" w:cs="Calibri"/>
        </w:rPr>
      </w:pPr>
      <w:r w:rsidRPr="00C10C9B">
        <w:rPr>
          <w:rFonts w:ascii="Calibri" w:hAnsi="Calibri" w:cs="Calibri"/>
        </w:rPr>
        <w:lastRenderedPageBreak/>
        <w:t xml:space="preserve">Major filter upgrades alter resistance </w:t>
      </w:r>
    </w:p>
    <w:p w14:paraId="463748F7" w14:textId="494C8B58" w:rsidR="00C10C9B" w:rsidRDefault="005E1E11" w:rsidP="007B0A46">
      <w:pPr>
        <w:spacing w:line="312" w:lineRule="auto"/>
        <w:ind w:left="142"/>
        <w:jc w:val="both"/>
        <w:rPr>
          <w:rFonts w:ascii="Calibri" w:hAnsi="Calibri" w:cs="Calibri"/>
        </w:rPr>
      </w:pPr>
      <w:r w:rsidRPr="005E1E11">
        <w:rPr>
          <w:rFonts w:ascii="Calibri" w:hAnsi="Calibri" w:cs="Calibri"/>
        </w:rPr>
        <w:t>Treating commissioning as permanent, regardless of modification, introduces governance risk.</w:t>
      </w:r>
    </w:p>
    <w:p w14:paraId="440D0DC3" w14:textId="77777777" w:rsidR="007B5D9D" w:rsidRDefault="007B5D9D" w:rsidP="00AE0A5F">
      <w:pPr>
        <w:spacing w:line="312" w:lineRule="auto"/>
        <w:jc w:val="both"/>
        <w:rPr>
          <w:rFonts w:ascii="Calibri" w:hAnsi="Calibri" w:cs="Calibri"/>
        </w:rPr>
      </w:pPr>
    </w:p>
    <w:p w14:paraId="5EA340A7" w14:textId="43D5CDED" w:rsidR="005E1E11" w:rsidRPr="00B96C7B" w:rsidRDefault="003E258F" w:rsidP="00AE0A5F">
      <w:pPr>
        <w:pStyle w:val="Heading2"/>
        <w:spacing w:after="160" w:line="312" w:lineRule="auto"/>
        <w:jc w:val="both"/>
      </w:pPr>
      <w:bookmarkStart w:id="20" w:name="_Toc231462492"/>
      <w:r w:rsidRPr="00B96C7B">
        <w:t>3</w:t>
      </w:r>
      <w:r w:rsidR="005E1E11" w:rsidRPr="00B96C7B">
        <w:t>.7 Governance Implications</w:t>
      </w:r>
      <w:bookmarkEnd w:id="20"/>
    </w:p>
    <w:p w14:paraId="07CBEB1B" w14:textId="47DD5B73" w:rsidR="005E1E11" w:rsidRPr="005E1E11" w:rsidRDefault="005E1E11" w:rsidP="007B0A46">
      <w:pPr>
        <w:spacing w:line="312" w:lineRule="auto"/>
        <w:ind w:left="142"/>
        <w:jc w:val="both"/>
        <w:rPr>
          <w:rFonts w:ascii="Calibri" w:hAnsi="Calibri" w:cs="Calibri"/>
        </w:rPr>
      </w:pPr>
      <w:r w:rsidRPr="005E1E11">
        <w:rPr>
          <w:rFonts w:ascii="Calibri" w:hAnsi="Calibri" w:cs="Calibri"/>
        </w:rPr>
        <w:t>From a regulatory perspective</w:t>
      </w:r>
      <w:r w:rsidR="007B5D9D">
        <w:rPr>
          <w:rFonts w:ascii="Calibri" w:hAnsi="Calibri" w:cs="Calibri"/>
        </w:rPr>
        <w:t>, c</w:t>
      </w:r>
      <w:r w:rsidRPr="005E1E11">
        <w:rPr>
          <w:rFonts w:ascii="Calibri" w:hAnsi="Calibri" w:cs="Calibri"/>
        </w:rPr>
        <w:t>ommissioning provides evidence that the system was capable of effective control.</w:t>
      </w:r>
      <w:r w:rsidR="007B0A46">
        <w:rPr>
          <w:rFonts w:ascii="Calibri" w:hAnsi="Calibri" w:cs="Calibri"/>
        </w:rPr>
        <w:t xml:space="preserve"> </w:t>
      </w:r>
      <w:r w:rsidRPr="005E1E11">
        <w:rPr>
          <w:rFonts w:ascii="Calibri" w:hAnsi="Calibri" w:cs="Calibri"/>
        </w:rPr>
        <w:t>TExT provides evidence that it has been maintained in working order</w:t>
      </w:r>
      <w:r w:rsidR="00C10C9B">
        <w:rPr>
          <w:rFonts w:ascii="Calibri" w:hAnsi="Calibri" w:cs="Calibri"/>
        </w:rPr>
        <w:t xml:space="preserve"> and continues to offer the level of control intended</w:t>
      </w:r>
      <w:r w:rsidRPr="005E1E11">
        <w:rPr>
          <w:rFonts w:ascii="Calibri" w:hAnsi="Calibri" w:cs="Calibri"/>
        </w:rPr>
        <w:t>.</w:t>
      </w:r>
    </w:p>
    <w:p w14:paraId="35070F73" w14:textId="77777777" w:rsidR="005E1E11" w:rsidRPr="005E1E11" w:rsidRDefault="005E1E11" w:rsidP="007B0A46">
      <w:pPr>
        <w:spacing w:line="312" w:lineRule="auto"/>
        <w:ind w:left="142"/>
        <w:jc w:val="both"/>
        <w:rPr>
          <w:rFonts w:ascii="Calibri" w:hAnsi="Calibri" w:cs="Calibri"/>
        </w:rPr>
      </w:pPr>
      <w:r w:rsidRPr="005E1E11">
        <w:rPr>
          <w:rFonts w:ascii="Calibri" w:hAnsi="Calibri" w:cs="Calibri"/>
        </w:rPr>
        <w:t>They serve distinct but complementary functions.</w:t>
      </w:r>
    </w:p>
    <w:p w14:paraId="6AE881CC" w14:textId="599E82B2" w:rsidR="005E1E11" w:rsidRPr="005E1E11" w:rsidRDefault="005E1E11" w:rsidP="007B0A46">
      <w:pPr>
        <w:spacing w:line="312" w:lineRule="auto"/>
        <w:ind w:left="142"/>
        <w:jc w:val="both"/>
        <w:rPr>
          <w:rFonts w:ascii="Calibri" w:hAnsi="Calibri" w:cs="Calibri"/>
        </w:rPr>
      </w:pPr>
      <w:r w:rsidRPr="005E1E11">
        <w:rPr>
          <w:rFonts w:ascii="Calibri" w:hAnsi="Calibri" w:cs="Calibri"/>
        </w:rPr>
        <w:t>Failure to distinguish between them risks:</w:t>
      </w:r>
    </w:p>
    <w:p w14:paraId="74C852D6" w14:textId="0AC51B55" w:rsidR="005E1E11" w:rsidRPr="00C10C9B" w:rsidRDefault="005E1E11" w:rsidP="00207543">
      <w:pPr>
        <w:pStyle w:val="ListParagraph"/>
        <w:numPr>
          <w:ilvl w:val="0"/>
          <w:numId w:val="17"/>
        </w:numPr>
        <w:spacing w:line="312" w:lineRule="auto"/>
        <w:jc w:val="both"/>
        <w:rPr>
          <w:rFonts w:ascii="Calibri" w:hAnsi="Calibri" w:cs="Calibri"/>
        </w:rPr>
      </w:pPr>
      <w:r w:rsidRPr="00C10C9B">
        <w:rPr>
          <w:rFonts w:ascii="Calibri" w:hAnsi="Calibri" w:cs="Calibri"/>
        </w:rPr>
        <w:t xml:space="preserve">Overconfidence in statutory testing </w:t>
      </w:r>
    </w:p>
    <w:p w14:paraId="441ED2F4" w14:textId="5A7B02C7" w:rsidR="005E1E11" w:rsidRPr="00C10C9B" w:rsidRDefault="005E1E11" w:rsidP="00207543">
      <w:pPr>
        <w:pStyle w:val="ListParagraph"/>
        <w:numPr>
          <w:ilvl w:val="0"/>
          <w:numId w:val="17"/>
        </w:numPr>
        <w:spacing w:line="312" w:lineRule="auto"/>
        <w:jc w:val="both"/>
        <w:rPr>
          <w:rFonts w:ascii="Calibri" w:hAnsi="Calibri" w:cs="Calibri"/>
        </w:rPr>
      </w:pPr>
      <w:r w:rsidRPr="00C10C9B">
        <w:rPr>
          <w:rFonts w:ascii="Calibri" w:hAnsi="Calibri" w:cs="Calibri"/>
        </w:rPr>
        <w:t xml:space="preserve">Weak evidential foundation </w:t>
      </w:r>
    </w:p>
    <w:p w14:paraId="6D8FB42D" w14:textId="2B87513A" w:rsidR="005E1E11" w:rsidRPr="00C10C9B" w:rsidRDefault="005E1E11" w:rsidP="00207543">
      <w:pPr>
        <w:pStyle w:val="ListParagraph"/>
        <w:numPr>
          <w:ilvl w:val="0"/>
          <w:numId w:val="17"/>
        </w:numPr>
        <w:spacing w:line="312" w:lineRule="auto"/>
        <w:jc w:val="both"/>
        <w:rPr>
          <w:rFonts w:ascii="Calibri" w:hAnsi="Calibri" w:cs="Calibri"/>
        </w:rPr>
      </w:pPr>
      <w:r w:rsidRPr="00C10C9B">
        <w:rPr>
          <w:rFonts w:ascii="Calibri" w:hAnsi="Calibri" w:cs="Calibri"/>
        </w:rPr>
        <w:t xml:space="preserve">Difficulty demonstrating control adequacy under scrutiny </w:t>
      </w:r>
    </w:p>
    <w:p w14:paraId="40A4BD63" w14:textId="2418B359" w:rsidR="003E258F" w:rsidRDefault="005E1E11" w:rsidP="007B0A46">
      <w:pPr>
        <w:spacing w:line="312" w:lineRule="auto"/>
        <w:ind w:left="142"/>
        <w:jc w:val="both"/>
        <w:rPr>
          <w:rFonts w:ascii="Calibri" w:hAnsi="Calibri" w:cs="Calibri"/>
        </w:rPr>
      </w:pPr>
      <w:r w:rsidRPr="005E1E11">
        <w:rPr>
          <w:rFonts w:ascii="Calibri" w:hAnsi="Calibri" w:cs="Calibri"/>
        </w:rPr>
        <w:t>Commissioning must therefore be understood as the establishment of defensible capability, not simply completion of installation.</w:t>
      </w:r>
    </w:p>
    <w:p w14:paraId="7125932B" w14:textId="395A85BB" w:rsidR="007B5D9D" w:rsidRDefault="007B5D9D" w:rsidP="00AE0A5F">
      <w:pPr>
        <w:spacing w:line="312" w:lineRule="auto"/>
        <w:jc w:val="both"/>
        <w:rPr>
          <w:rFonts w:ascii="Calibri" w:hAnsi="Calibri" w:cs="Calibri"/>
        </w:rPr>
      </w:pPr>
    </w:p>
    <w:p w14:paraId="373158EF" w14:textId="242FE240" w:rsidR="005E1E11" w:rsidRPr="00B669C0" w:rsidRDefault="005E1E11" w:rsidP="00133446">
      <w:pPr>
        <w:pStyle w:val="Heading1"/>
        <w:spacing w:after="160" w:line="312" w:lineRule="auto"/>
      </w:pPr>
      <w:bookmarkStart w:id="21" w:name="_Toc231462493"/>
      <w:r w:rsidRPr="00B669C0">
        <w:t xml:space="preserve">Section </w:t>
      </w:r>
      <w:r w:rsidR="00207543">
        <w:t>4</w:t>
      </w:r>
      <w:r w:rsidR="007B5D9D">
        <w:t>:</w:t>
      </w:r>
      <w:r w:rsidRPr="00B669C0">
        <w:t xml:space="preserve"> OXYL8 Defensible Commissioning Framework™</w:t>
      </w:r>
      <w:bookmarkEnd w:id="21"/>
    </w:p>
    <w:p w14:paraId="0892C110" w14:textId="77777777" w:rsidR="005804D8" w:rsidRDefault="005E1E11" w:rsidP="005804D8">
      <w:pPr>
        <w:spacing w:line="312" w:lineRule="auto"/>
        <w:jc w:val="both"/>
        <w:rPr>
          <w:rFonts w:ascii="Calibri" w:hAnsi="Calibri" w:cs="Calibri"/>
        </w:rPr>
      </w:pPr>
      <w:r w:rsidRPr="005E1E11">
        <w:rPr>
          <w:rFonts w:ascii="Calibri" w:hAnsi="Calibri" w:cs="Calibri"/>
        </w:rPr>
        <w:t xml:space="preserve">The </w:t>
      </w:r>
      <w:r w:rsidRPr="00C10C9B">
        <w:rPr>
          <w:rFonts w:ascii="Calibri" w:hAnsi="Calibri" w:cs="Calibri"/>
          <w:b/>
          <w:bCs/>
        </w:rPr>
        <w:t>OXYL8 Defensible Commissioning Framework™</w:t>
      </w:r>
      <w:r w:rsidRPr="005E1E11">
        <w:rPr>
          <w:rFonts w:ascii="Calibri" w:hAnsi="Calibri" w:cs="Calibri"/>
        </w:rPr>
        <w:t xml:space="preserve"> is structured to clarify what commissioning must achieve </w:t>
      </w:r>
      <w:proofErr w:type="gramStart"/>
      <w:r w:rsidRPr="005E1E11">
        <w:rPr>
          <w:rFonts w:ascii="Calibri" w:hAnsi="Calibri" w:cs="Calibri"/>
        </w:rPr>
        <w:t>in order to</w:t>
      </w:r>
      <w:proofErr w:type="gramEnd"/>
      <w:r w:rsidRPr="005E1E11">
        <w:rPr>
          <w:rFonts w:ascii="Calibri" w:hAnsi="Calibri" w:cs="Calibri"/>
        </w:rPr>
        <w:t xml:space="preserve"> provide governance-level assurance.</w:t>
      </w:r>
    </w:p>
    <w:p w14:paraId="6671B07F" w14:textId="18F56C82" w:rsidR="00BE0241" w:rsidRPr="007B5D9D" w:rsidRDefault="005E1E11" w:rsidP="005804D8">
      <w:pPr>
        <w:spacing w:line="312" w:lineRule="auto"/>
        <w:jc w:val="both"/>
        <w:rPr>
          <w:rFonts w:ascii="Calibri" w:hAnsi="Calibri" w:cs="Calibri"/>
        </w:rPr>
      </w:pPr>
      <w:r w:rsidRPr="005E1E11">
        <w:rPr>
          <w:rFonts w:ascii="Calibri" w:hAnsi="Calibri" w:cs="Calibri"/>
        </w:rPr>
        <w:t>It separates the commissioning process into five interdependent stages.</w:t>
      </w:r>
      <w:r w:rsidR="00207543">
        <w:rPr>
          <w:rFonts w:ascii="Calibri" w:hAnsi="Calibri" w:cs="Calibri"/>
        </w:rPr>
        <w:t xml:space="preserve"> </w:t>
      </w:r>
      <w:r w:rsidRPr="005E1E11">
        <w:rPr>
          <w:rFonts w:ascii="Calibri" w:hAnsi="Calibri" w:cs="Calibri"/>
        </w:rPr>
        <w:t>Each stage must be demonstrably completed for commissioning to be considered defensible.</w:t>
      </w:r>
    </w:p>
    <w:p w14:paraId="07ABA4AF" w14:textId="1A507844" w:rsidR="005E1E11" w:rsidRPr="00B96C7B" w:rsidRDefault="003D75E6" w:rsidP="005804D8">
      <w:pPr>
        <w:pStyle w:val="Heading2"/>
        <w:spacing w:after="160" w:line="312" w:lineRule="auto"/>
        <w:jc w:val="both"/>
      </w:pPr>
      <w:r>
        <w:br/>
      </w:r>
      <w:bookmarkStart w:id="22" w:name="_Toc231462494"/>
      <w:r w:rsidR="005E1E11" w:rsidRPr="00B96C7B">
        <w:t>Stage 1</w:t>
      </w:r>
      <w:r w:rsidR="00133446">
        <w:t>:</w:t>
      </w:r>
      <w:r w:rsidR="005E1E11" w:rsidRPr="00B96C7B">
        <w:t xml:space="preserve"> Design Intent Definition</w:t>
      </w:r>
      <w:bookmarkEnd w:id="22"/>
    </w:p>
    <w:p w14:paraId="5824ADCF" w14:textId="08CB7B50" w:rsidR="005E1E11" w:rsidRPr="005E1E11" w:rsidRDefault="005E1E11" w:rsidP="005804D8">
      <w:pPr>
        <w:spacing w:line="312" w:lineRule="auto"/>
        <w:jc w:val="both"/>
        <w:rPr>
          <w:rFonts w:ascii="Calibri" w:hAnsi="Calibri" w:cs="Calibri"/>
        </w:rPr>
      </w:pPr>
      <w:r w:rsidRPr="005E1E11">
        <w:rPr>
          <w:rFonts w:ascii="Calibri" w:hAnsi="Calibri" w:cs="Calibri"/>
        </w:rPr>
        <w:t>Commissioning begins before measurement.</w:t>
      </w:r>
      <w:r w:rsidR="00207543">
        <w:rPr>
          <w:rFonts w:ascii="Calibri" w:hAnsi="Calibri" w:cs="Calibri"/>
        </w:rPr>
        <w:t xml:space="preserve"> </w:t>
      </w:r>
      <w:r w:rsidRPr="005E1E11">
        <w:rPr>
          <w:rFonts w:ascii="Calibri" w:hAnsi="Calibri" w:cs="Calibri"/>
        </w:rPr>
        <w:t>This stage requires explicit documentation of:</w:t>
      </w:r>
    </w:p>
    <w:p w14:paraId="74ED53FF" w14:textId="7FBEBC16" w:rsidR="00BE0241" w:rsidRPr="00BE0241" w:rsidRDefault="005E1E11" w:rsidP="005804D8">
      <w:pPr>
        <w:pStyle w:val="ListParagraph"/>
        <w:numPr>
          <w:ilvl w:val="0"/>
          <w:numId w:val="18"/>
        </w:numPr>
        <w:spacing w:line="312" w:lineRule="auto"/>
        <w:jc w:val="both"/>
        <w:rPr>
          <w:rFonts w:ascii="Calibri" w:hAnsi="Calibri" w:cs="Calibri"/>
        </w:rPr>
      </w:pPr>
      <w:r w:rsidRPr="00C10C9B">
        <w:rPr>
          <w:rFonts w:ascii="Calibri" w:hAnsi="Calibri" w:cs="Calibri"/>
        </w:rPr>
        <w:t>Hazard characterisation</w:t>
      </w:r>
    </w:p>
    <w:p w14:paraId="5A57D563" w14:textId="4FD017A4" w:rsidR="005E1E11" w:rsidRPr="00C10C9B" w:rsidRDefault="005E1E11" w:rsidP="005804D8">
      <w:pPr>
        <w:pStyle w:val="ListParagraph"/>
        <w:numPr>
          <w:ilvl w:val="0"/>
          <w:numId w:val="18"/>
        </w:numPr>
        <w:spacing w:line="312" w:lineRule="auto"/>
        <w:jc w:val="both"/>
        <w:rPr>
          <w:rFonts w:ascii="Calibri" w:hAnsi="Calibri" w:cs="Calibri"/>
        </w:rPr>
      </w:pPr>
      <w:r w:rsidRPr="00C10C9B">
        <w:rPr>
          <w:rFonts w:ascii="Calibri" w:hAnsi="Calibri" w:cs="Calibri"/>
        </w:rPr>
        <w:t xml:space="preserve">Contaminant generation mechanism </w:t>
      </w:r>
    </w:p>
    <w:p w14:paraId="76A221E2" w14:textId="749B4A83" w:rsidR="005E1E11" w:rsidRPr="00C10C9B" w:rsidRDefault="005E1E11" w:rsidP="005804D8">
      <w:pPr>
        <w:pStyle w:val="ListParagraph"/>
        <w:numPr>
          <w:ilvl w:val="0"/>
          <w:numId w:val="18"/>
        </w:numPr>
        <w:spacing w:line="312" w:lineRule="auto"/>
        <w:jc w:val="both"/>
        <w:rPr>
          <w:rFonts w:ascii="Calibri" w:hAnsi="Calibri" w:cs="Calibri"/>
        </w:rPr>
      </w:pPr>
      <w:r w:rsidRPr="00C10C9B">
        <w:rPr>
          <w:rFonts w:ascii="Calibri" w:hAnsi="Calibri" w:cs="Calibri"/>
        </w:rPr>
        <w:t>Required c</w:t>
      </w:r>
      <w:r w:rsidR="00BE0241">
        <w:rPr>
          <w:rFonts w:ascii="Calibri" w:hAnsi="Calibri" w:cs="Calibri"/>
        </w:rPr>
        <w:t>ontrol</w:t>
      </w:r>
      <w:r w:rsidRPr="00C10C9B">
        <w:rPr>
          <w:rFonts w:ascii="Calibri" w:hAnsi="Calibri" w:cs="Calibri"/>
        </w:rPr>
        <w:t xml:space="preserve"> strategy </w:t>
      </w:r>
    </w:p>
    <w:p w14:paraId="44FAE306" w14:textId="0227E84A" w:rsidR="005E1E11" w:rsidRPr="00C10C9B" w:rsidRDefault="005E1E11" w:rsidP="005804D8">
      <w:pPr>
        <w:pStyle w:val="ListParagraph"/>
        <w:numPr>
          <w:ilvl w:val="0"/>
          <w:numId w:val="18"/>
        </w:numPr>
        <w:spacing w:line="312" w:lineRule="auto"/>
        <w:jc w:val="both"/>
        <w:rPr>
          <w:rFonts w:ascii="Calibri" w:hAnsi="Calibri" w:cs="Calibri"/>
        </w:rPr>
      </w:pPr>
      <w:r w:rsidRPr="00C10C9B">
        <w:rPr>
          <w:rFonts w:ascii="Calibri" w:hAnsi="Calibri" w:cs="Calibri"/>
        </w:rPr>
        <w:t xml:space="preserve">Target performance criteria </w:t>
      </w:r>
      <w:r w:rsidR="00BE0241">
        <w:rPr>
          <w:rFonts w:ascii="Calibri" w:hAnsi="Calibri" w:cs="Calibri"/>
        </w:rPr>
        <w:t>(Control Benchmark)</w:t>
      </w:r>
    </w:p>
    <w:p w14:paraId="67E423D6" w14:textId="3E03636A" w:rsidR="005E1E11" w:rsidRPr="00C10C9B" w:rsidRDefault="005E1E11" w:rsidP="005804D8">
      <w:pPr>
        <w:pStyle w:val="ListParagraph"/>
        <w:numPr>
          <w:ilvl w:val="0"/>
          <w:numId w:val="18"/>
        </w:numPr>
        <w:spacing w:line="312" w:lineRule="auto"/>
        <w:jc w:val="both"/>
        <w:rPr>
          <w:rFonts w:ascii="Calibri" w:hAnsi="Calibri" w:cs="Calibri"/>
        </w:rPr>
      </w:pPr>
      <w:r w:rsidRPr="00C10C9B">
        <w:rPr>
          <w:rFonts w:ascii="Calibri" w:hAnsi="Calibri" w:cs="Calibri"/>
        </w:rPr>
        <w:t xml:space="preserve">Design airflow and pressure assumptions </w:t>
      </w:r>
    </w:p>
    <w:p w14:paraId="363FAD99" w14:textId="2F4BA8B5" w:rsidR="005E1E11" w:rsidRPr="005E1E11" w:rsidRDefault="005E1E11" w:rsidP="005804D8">
      <w:pPr>
        <w:spacing w:line="312" w:lineRule="auto"/>
        <w:jc w:val="both"/>
        <w:rPr>
          <w:rFonts w:ascii="Calibri" w:hAnsi="Calibri" w:cs="Calibri"/>
        </w:rPr>
      </w:pPr>
      <w:r w:rsidRPr="005E1E11">
        <w:rPr>
          <w:rFonts w:ascii="Calibri" w:hAnsi="Calibri" w:cs="Calibri"/>
        </w:rPr>
        <w:lastRenderedPageBreak/>
        <w:t>Design intent must be recorded in sufficient technical detail to allow objective verification.</w:t>
      </w:r>
    </w:p>
    <w:p w14:paraId="0BCEB34A" w14:textId="690DC221" w:rsidR="00BE0241" w:rsidRDefault="005E1E11" w:rsidP="005804D8">
      <w:pPr>
        <w:spacing w:line="312" w:lineRule="auto"/>
        <w:jc w:val="both"/>
        <w:rPr>
          <w:rFonts w:ascii="Calibri" w:hAnsi="Calibri" w:cs="Calibri"/>
        </w:rPr>
      </w:pPr>
      <w:r w:rsidRPr="005E1E11">
        <w:rPr>
          <w:rFonts w:ascii="Calibri" w:hAnsi="Calibri" w:cs="Calibri"/>
        </w:rPr>
        <w:t>Without defined intent, measurement has no reference.</w:t>
      </w:r>
    </w:p>
    <w:p w14:paraId="3C000C33" w14:textId="77777777" w:rsidR="005804D8" w:rsidRPr="00207543" w:rsidRDefault="005804D8" w:rsidP="005804D8">
      <w:pPr>
        <w:spacing w:line="312" w:lineRule="auto"/>
        <w:jc w:val="both"/>
        <w:rPr>
          <w:rFonts w:ascii="Calibri" w:hAnsi="Calibri" w:cs="Calibri"/>
        </w:rPr>
      </w:pPr>
    </w:p>
    <w:p w14:paraId="7E10DE50" w14:textId="06730339" w:rsidR="005E1E11" w:rsidRPr="00B96C7B" w:rsidRDefault="005E1E11" w:rsidP="005804D8">
      <w:pPr>
        <w:pStyle w:val="Heading2"/>
        <w:spacing w:after="160" w:line="312" w:lineRule="auto"/>
        <w:jc w:val="both"/>
      </w:pPr>
      <w:bookmarkStart w:id="23" w:name="_Toc231462495"/>
      <w:r w:rsidRPr="00B96C7B">
        <w:t>Stage 2</w:t>
      </w:r>
      <w:r w:rsidR="00133446">
        <w:t xml:space="preserve">: </w:t>
      </w:r>
      <w:r w:rsidRPr="00B96C7B">
        <w:t>Technical Verification of Installation</w:t>
      </w:r>
      <w:bookmarkEnd w:id="23"/>
    </w:p>
    <w:p w14:paraId="682DA8A8" w14:textId="0A958078" w:rsidR="005E1E11" w:rsidRPr="005E1E11" w:rsidRDefault="005E1E11" w:rsidP="007B0A46">
      <w:pPr>
        <w:spacing w:line="312" w:lineRule="auto"/>
        <w:ind w:left="142"/>
        <w:jc w:val="both"/>
        <w:rPr>
          <w:rFonts w:ascii="Calibri" w:hAnsi="Calibri" w:cs="Calibri"/>
        </w:rPr>
      </w:pPr>
      <w:r w:rsidRPr="005E1E11">
        <w:rPr>
          <w:rFonts w:ascii="Calibri" w:hAnsi="Calibri" w:cs="Calibri"/>
        </w:rPr>
        <w:t>This stage confirms that the installed system reflects design intent.</w:t>
      </w:r>
    </w:p>
    <w:p w14:paraId="3AAC3024" w14:textId="77777777" w:rsidR="005E1E11" w:rsidRPr="005E1E11" w:rsidRDefault="005E1E11" w:rsidP="007B0A46">
      <w:pPr>
        <w:spacing w:line="312" w:lineRule="auto"/>
        <w:ind w:left="142"/>
        <w:jc w:val="both"/>
        <w:rPr>
          <w:rFonts w:ascii="Calibri" w:hAnsi="Calibri" w:cs="Calibri"/>
        </w:rPr>
      </w:pPr>
      <w:r w:rsidRPr="005E1E11">
        <w:rPr>
          <w:rFonts w:ascii="Calibri" w:hAnsi="Calibri" w:cs="Calibri"/>
        </w:rPr>
        <w:t>Verification includes:</w:t>
      </w:r>
    </w:p>
    <w:p w14:paraId="7ABF9942" w14:textId="4AF4809C" w:rsidR="005E1E11" w:rsidRPr="00BE0241" w:rsidRDefault="005E1E11" w:rsidP="005804D8">
      <w:pPr>
        <w:pStyle w:val="ListParagraph"/>
        <w:numPr>
          <w:ilvl w:val="0"/>
          <w:numId w:val="19"/>
        </w:numPr>
        <w:spacing w:line="312" w:lineRule="auto"/>
        <w:jc w:val="both"/>
        <w:rPr>
          <w:rFonts w:ascii="Calibri" w:hAnsi="Calibri" w:cs="Calibri"/>
        </w:rPr>
      </w:pPr>
      <w:r w:rsidRPr="00BE0241">
        <w:rPr>
          <w:rFonts w:ascii="Calibri" w:hAnsi="Calibri" w:cs="Calibri"/>
        </w:rPr>
        <w:t xml:space="preserve">Hood geometry and positioning </w:t>
      </w:r>
    </w:p>
    <w:p w14:paraId="2367846C" w14:textId="6F8353EE" w:rsidR="005E1E11" w:rsidRPr="00BE0241" w:rsidRDefault="005E1E11" w:rsidP="005804D8">
      <w:pPr>
        <w:pStyle w:val="ListParagraph"/>
        <w:numPr>
          <w:ilvl w:val="0"/>
          <w:numId w:val="19"/>
        </w:numPr>
        <w:spacing w:line="312" w:lineRule="auto"/>
        <w:jc w:val="both"/>
        <w:rPr>
          <w:rFonts w:ascii="Calibri" w:hAnsi="Calibri" w:cs="Calibri"/>
        </w:rPr>
      </w:pPr>
      <w:r w:rsidRPr="00BE0241">
        <w:rPr>
          <w:rFonts w:ascii="Calibri" w:hAnsi="Calibri" w:cs="Calibri"/>
        </w:rPr>
        <w:t>Duct sizing and routing</w:t>
      </w:r>
      <w:r w:rsidR="00BE0241">
        <w:rPr>
          <w:rFonts w:ascii="Calibri" w:hAnsi="Calibri" w:cs="Calibri"/>
        </w:rPr>
        <w:t xml:space="preserve"> (reflected in design handover drawings)</w:t>
      </w:r>
    </w:p>
    <w:p w14:paraId="554FD80F" w14:textId="0DAFBE27" w:rsidR="005E1E11" w:rsidRPr="00BE0241" w:rsidRDefault="005E1E11" w:rsidP="005804D8">
      <w:pPr>
        <w:pStyle w:val="ListParagraph"/>
        <w:numPr>
          <w:ilvl w:val="0"/>
          <w:numId w:val="19"/>
        </w:numPr>
        <w:spacing w:line="312" w:lineRule="auto"/>
        <w:jc w:val="both"/>
        <w:rPr>
          <w:rFonts w:ascii="Calibri" w:hAnsi="Calibri" w:cs="Calibri"/>
        </w:rPr>
      </w:pPr>
      <w:r w:rsidRPr="00BE0241">
        <w:rPr>
          <w:rFonts w:ascii="Calibri" w:hAnsi="Calibri" w:cs="Calibri"/>
        </w:rPr>
        <w:t xml:space="preserve">Fan selection and orientation </w:t>
      </w:r>
    </w:p>
    <w:p w14:paraId="73209375" w14:textId="79F97D83" w:rsidR="005E1E11" w:rsidRPr="00BE0241" w:rsidRDefault="005E1E11" w:rsidP="005804D8">
      <w:pPr>
        <w:pStyle w:val="ListParagraph"/>
        <w:numPr>
          <w:ilvl w:val="0"/>
          <w:numId w:val="19"/>
        </w:numPr>
        <w:spacing w:line="312" w:lineRule="auto"/>
        <w:jc w:val="both"/>
        <w:rPr>
          <w:rFonts w:ascii="Calibri" w:hAnsi="Calibri" w:cs="Calibri"/>
        </w:rPr>
      </w:pPr>
      <w:r w:rsidRPr="00BE0241">
        <w:rPr>
          <w:rFonts w:ascii="Calibri" w:hAnsi="Calibri" w:cs="Calibri"/>
        </w:rPr>
        <w:t xml:space="preserve">Filter configuration </w:t>
      </w:r>
    </w:p>
    <w:p w14:paraId="43C5F1CE" w14:textId="78AAD082" w:rsidR="005E1E11" w:rsidRPr="00BE0241" w:rsidRDefault="005E1E11" w:rsidP="005804D8">
      <w:pPr>
        <w:pStyle w:val="ListParagraph"/>
        <w:numPr>
          <w:ilvl w:val="0"/>
          <w:numId w:val="19"/>
        </w:numPr>
        <w:spacing w:line="312" w:lineRule="auto"/>
        <w:jc w:val="both"/>
        <w:rPr>
          <w:rFonts w:ascii="Calibri" w:hAnsi="Calibri" w:cs="Calibri"/>
        </w:rPr>
      </w:pPr>
      <w:r w:rsidRPr="00BE0241">
        <w:rPr>
          <w:rFonts w:ascii="Calibri" w:hAnsi="Calibri" w:cs="Calibri"/>
        </w:rPr>
        <w:t xml:space="preserve">Air replacement considerations </w:t>
      </w:r>
    </w:p>
    <w:p w14:paraId="1BDA40E2" w14:textId="77777777" w:rsidR="005E1E11" w:rsidRPr="005E1E11" w:rsidRDefault="005E1E11" w:rsidP="007B0A46">
      <w:pPr>
        <w:spacing w:line="312" w:lineRule="auto"/>
        <w:ind w:left="142"/>
        <w:jc w:val="both"/>
        <w:rPr>
          <w:rFonts w:ascii="Calibri" w:hAnsi="Calibri" w:cs="Calibri"/>
        </w:rPr>
      </w:pPr>
      <w:r w:rsidRPr="005E1E11">
        <w:rPr>
          <w:rFonts w:ascii="Calibri" w:hAnsi="Calibri" w:cs="Calibri"/>
        </w:rPr>
        <w:t>The objective is to ensure that physical configuration supports intended performance.</w:t>
      </w:r>
    </w:p>
    <w:p w14:paraId="1EF7D7CC" w14:textId="77777777" w:rsidR="005E1E11" w:rsidRDefault="005E1E11" w:rsidP="007B0A46">
      <w:pPr>
        <w:spacing w:line="312" w:lineRule="auto"/>
        <w:ind w:left="142"/>
        <w:jc w:val="both"/>
        <w:rPr>
          <w:rFonts w:ascii="Calibri" w:hAnsi="Calibri" w:cs="Calibri"/>
        </w:rPr>
      </w:pPr>
      <w:r w:rsidRPr="005E1E11">
        <w:rPr>
          <w:rFonts w:ascii="Calibri" w:hAnsi="Calibri" w:cs="Calibri"/>
        </w:rPr>
        <w:t>Deviations must be recorded and evaluated for performance impact.</w:t>
      </w:r>
    </w:p>
    <w:p w14:paraId="3289D542" w14:textId="34DB0F45" w:rsidR="00BE0241" w:rsidRPr="005E1E11" w:rsidRDefault="00BE0241" w:rsidP="005804D8">
      <w:pPr>
        <w:spacing w:line="312" w:lineRule="auto"/>
        <w:jc w:val="both"/>
        <w:rPr>
          <w:rFonts w:ascii="Calibri" w:hAnsi="Calibri" w:cs="Calibri"/>
        </w:rPr>
      </w:pPr>
    </w:p>
    <w:p w14:paraId="1E62B301" w14:textId="7CACC19F" w:rsidR="005E1E11" w:rsidRPr="00B96C7B" w:rsidRDefault="005E1E11" w:rsidP="005804D8">
      <w:pPr>
        <w:pStyle w:val="Heading2"/>
        <w:spacing w:after="160" w:line="312" w:lineRule="auto"/>
        <w:jc w:val="both"/>
      </w:pPr>
      <w:bookmarkStart w:id="24" w:name="_Toc231462496"/>
      <w:r w:rsidRPr="00B96C7B">
        <w:t>Stage 3</w:t>
      </w:r>
      <w:r w:rsidR="00133446">
        <w:t>:</w:t>
      </w:r>
      <w:r w:rsidRPr="00B96C7B">
        <w:t xml:space="preserve"> Performance Benchmarking</w:t>
      </w:r>
      <w:bookmarkEnd w:id="24"/>
    </w:p>
    <w:p w14:paraId="4B79F452" w14:textId="0A44DA94" w:rsidR="005E1E11" w:rsidRPr="005E1E11" w:rsidRDefault="005E1E11" w:rsidP="007B0A46">
      <w:pPr>
        <w:spacing w:line="312" w:lineRule="auto"/>
        <w:ind w:left="142"/>
        <w:jc w:val="both"/>
        <w:rPr>
          <w:rFonts w:ascii="Calibri" w:hAnsi="Calibri" w:cs="Calibri"/>
        </w:rPr>
      </w:pPr>
      <w:r w:rsidRPr="005E1E11">
        <w:rPr>
          <w:rFonts w:ascii="Calibri" w:hAnsi="Calibri" w:cs="Calibri"/>
        </w:rPr>
        <w:t>This stage establishes measurable evidence of capability.</w:t>
      </w:r>
    </w:p>
    <w:p w14:paraId="209EC828" w14:textId="77777777" w:rsidR="005E1E11" w:rsidRPr="005E1E11" w:rsidRDefault="005E1E11" w:rsidP="007B0A46">
      <w:pPr>
        <w:spacing w:line="312" w:lineRule="auto"/>
        <w:ind w:left="142"/>
        <w:jc w:val="both"/>
        <w:rPr>
          <w:rFonts w:ascii="Calibri" w:hAnsi="Calibri" w:cs="Calibri"/>
        </w:rPr>
      </w:pPr>
      <w:r w:rsidRPr="005E1E11">
        <w:rPr>
          <w:rFonts w:ascii="Calibri" w:hAnsi="Calibri" w:cs="Calibri"/>
        </w:rPr>
        <w:t>It includes:</w:t>
      </w:r>
    </w:p>
    <w:p w14:paraId="06715C42" w14:textId="0C74FDE9" w:rsidR="005E1E11" w:rsidRPr="00BE0241" w:rsidRDefault="005E1E11" w:rsidP="005804D8">
      <w:pPr>
        <w:pStyle w:val="ListParagraph"/>
        <w:numPr>
          <w:ilvl w:val="0"/>
          <w:numId w:val="20"/>
        </w:numPr>
        <w:spacing w:line="312" w:lineRule="auto"/>
        <w:jc w:val="both"/>
        <w:rPr>
          <w:rFonts w:ascii="Calibri" w:hAnsi="Calibri" w:cs="Calibri"/>
        </w:rPr>
      </w:pPr>
      <w:r w:rsidRPr="00BE0241">
        <w:rPr>
          <w:rFonts w:ascii="Calibri" w:hAnsi="Calibri" w:cs="Calibri"/>
        </w:rPr>
        <w:t xml:space="preserve">Airflow measurement at defined locations </w:t>
      </w:r>
    </w:p>
    <w:p w14:paraId="45ED0C85" w14:textId="44F125C0" w:rsidR="005E1E11" w:rsidRPr="00BE0241" w:rsidRDefault="005E1E11" w:rsidP="005804D8">
      <w:pPr>
        <w:pStyle w:val="ListParagraph"/>
        <w:numPr>
          <w:ilvl w:val="0"/>
          <w:numId w:val="20"/>
        </w:numPr>
        <w:spacing w:line="312" w:lineRule="auto"/>
        <w:jc w:val="both"/>
        <w:rPr>
          <w:rFonts w:ascii="Calibri" w:hAnsi="Calibri" w:cs="Calibri"/>
        </w:rPr>
      </w:pPr>
      <w:r w:rsidRPr="00BE0241">
        <w:rPr>
          <w:rFonts w:ascii="Calibri" w:hAnsi="Calibri" w:cs="Calibri"/>
        </w:rPr>
        <w:t xml:space="preserve">Static pressure profiling </w:t>
      </w:r>
    </w:p>
    <w:p w14:paraId="32061B2A" w14:textId="4F1A8347" w:rsidR="005E1E11" w:rsidRPr="00BE0241" w:rsidRDefault="00BE0241" w:rsidP="005804D8">
      <w:pPr>
        <w:pStyle w:val="ListParagraph"/>
        <w:numPr>
          <w:ilvl w:val="0"/>
          <w:numId w:val="20"/>
        </w:numPr>
        <w:spacing w:line="312" w:lineRule="auto"/>
        <w:jc w:val="both"/>
        <w:rPr>
          <w:rFonts w:ascii="Calibri" w:hAnsi="Calibri" w:cs="Calibri"/>
        </w:rPr>
      </w:pPr>
      <w:r>
        <w:rPr>
          <w:rFonts w:ascii="Calibri" w:hAnsi="Calibri" w:cs="Calibri"/>
        </w:rPr>
        <w:t>Control</w:t>
      </w:r>
      <w:r w:rsidR="005E1E11" w:rsidRPr="00BE0241">
        <w:rPr>
          <w:rFonts w:ascii="Calibri" w:hAnsi="Calibri" w:cs="Calibri"/>
        </w:rPr>
        <w:t xml:space="preserve"> performance validation </w:t>
      </w:r>
      <w:r>
        <w:rPr>
          <w:rFonts w:ascii="Calibri" w:hAnsi="Calibri" w:cs="Calibri"/>
        </w:rPr>
        <w:t>(observed)</w:t>
      </w:r>
    </w:p>
    <w:p w14:paraId="2F4CF3B9" w14:textId="34F60648" w:rsidR="005E1E11" w:rsidRPr="00BE0241" w:rsidRDefault="005E1E11" w:rsidP="005804D8">
      <w:pPr>
        <w:pStyle w:val="ListParagraph"/>
        <w:numPr>
          <w:ilvl w:val="0"/>
          <w:numId w:val="20"/>
        </w:numPr>
        <w:spacing w:line="312" w:lineRule="auto"/>
        <w:jc w:val="both"/>
        <w:rPr>
          <w:rFonts w:ascii="Calibri" w:hAnsi="Calibri" w:cs="Calibri"/>
        </w:rPr>
      </w:pPr>
      <w:r w:rsidRPr="00BE0241">
        <w:rPr>
          <w:rFonts w:ascii="Calibri" w:hAnsi="Calibri" w:cs="Calibri"/>
        </w:rPr>
        <w:t xml:space="preserve">System balancing confirmation </w:t>
      </w:r>
    </w:p>
    <w:p w14:paraId="362ED567" w14:textId="40B69FF4" w:rsidR="005E1E11" w:rsidRPr="00BE0241" w:rsidRDefault="005E1E11" w:rsidP="005804D8">
      <w:pPr>
        <w:pStyle w:val="ListParagraph"/>
        <w:numPr>
          <w:ilvl w:val="0"/>
          <w:numId w:val="20"/>
        </w:numPr>
        <w:spacing w:line="312" w:lineRule="auto"/>
        <w:jc w:val="both"/>
        <w:rPr>
          <w:rFonts w:ascii="Calibri" w:hAnsi="Calibri" w:cs="Calibri"/>
        </w:rPr>
      </w:pPr>
      <w:r w:rsidRPr="00BE0241">
        <w:rPr>
          <w:rFonts w:ascii="Calibri" w:hAnsi="Calibri" w:cs="Calibri"/>
        </w:rPr>
        <w:t xml:space="preserve">Fan duty verification against performance curves </w:t>
      </w:r>
    </w:p>
    <w:p w14:paraId="3DBD980D" w14:textId="5D6B5C31" w:rsidR="005E1E11" w:rsidRPr="005E1E11" w:rsidRDefault="005E1E11" w:rsidP="007B0A46">
      <w:pPr>
        <w:spacing w:line="312" w:lineRule="auto"/>
        <w:ind w:left="142"/>
        <w:jc w:val="both"/>
        <w:rPr>
          <w:rFonts w:ascii="Calibri" w:hAnsi="Calibri" w:cs="Calibri"/>
        </w:rPr>
      </w:pPr>
      <w:r w:rsidRPr="005E1E11">
        <w:rPr>
          <w:rFonts w:ascii="Calibri" w:hAnsi="Calibri" w:cs="Calibri"/>
        </w:rPr>
        <w:t>Measurement uncertainty should be acknowledged.</w:t>
      </w:r>
    </w:p>
    <w:p w14:paraId="02DAFD9F" w14:textId="44F6AEF4" w:rsidR="005E1E11" w:rsidRPr="005E1E11" w:rsidRDefault="005E1E11" w:rsidP="007B0A46">
      <w:pPr>
        <w:spacing w:line="312" w:lineRule="auto"/>
        <w:ind w:left="142"/>
        <w:jc w:val="both"/>
        <w:rPr>
          <w:rFonts w:ascii="Calibri" w:hAnsi="Calibri" w:cs="Calibri"/>
        </w:rPr>
      </w:pPr>
      <w:r w:rsidRPr="005E1E11">
        <w:rPr>
          <w:rFonts w:ascii="Calibri" w:hAnsi="Calibri" w:cs="Calibri"/>
        </w:rPr>
        <w:t>The outcome of this stage is a clearly defined performance benchmark.</w:t>
      </w:r>
      <w:r w:rsidR="007B0A46">
        <w:rPr>
          <w:rFonts w:ascii="Calibri" w:hAnsi="Calibri" w:cs="Calibri"/>
        </w:rPr>
        <w:t xml:space="preserve"> </w:t>
      </w:r>
      <w:r w:rsidRPr="005E1E11">
        <w:rPr>
          <w:rFonts w:ascii="Calibri" w:hAnsi="Calibri" w:cs="Calibri"/>
        </w:rPr>
        <w:t>This benchmark becomes the reference for future statutory examination.</w:t>
      </w:r>
    </w:p>
    <w:p w14:paraId="37DA4DA1" w14:textId="5D62224A" w:rsidR="00BE0241" w:rsidRDefault="00BE0241" w:rsidP="005804D8">
      <w:pPr>
        <w:spacing w:line="312" w:lineRule="auto"/>
        <w:jc w:val="both"/>
        <w:rPr>
          <w:rFonts w:ascii="Calibri" w:hAnsi="Calibri" w:cs="Calibri"/>
        </w:rPr>
      </w:pPr>
    </w:p>
    <w:p w14:paraId="26406DFE" w14:textId="202F936F" w:rsidR="005E1E11" w:rsidRPr="00B96C7B" w:rsidRDefault="005E1E11" w:rsidP="005804D8">
      <w:pPr>
        <w:pStyle w:val="Heading2"/>
        <w:spacing w:after="160" w:line="312" w:lineRule="auto"/>
        <w:jc w:val="both"/>
      </w:pPr>
      <w:bookmarkStart w:id="25" w:name="_Toc231462497"/>
      <w:r w:rsidRPr="00B96C7B">
        <w:lastRenderedPageBreak/>
        <w:t>Stage 4</w:t>
      </w:r>
      <w:r w:rsidR="00EA70AF">
        <w:t>:</w:t>
      </w:r>
      <w:r w:rsidR="003D75E6">
        <w:t xml:space="preserve"> </w:t>
      </w:r>
      <w:r w:rsidRPr="00B96C7B">
        <w:t>Structured Documentation and Evidence</w:t>
      </w:r>
      <w:bookmarkEnd w:id="25"/>
    </w:p>
    <w:p w14:paraId="10C869B8" w14:textId="77777777" w:rsidR="005E1E11" w:rsidRPr="005E1E11" w:rsidRDefault="005E1E11" w:rsidP="007B0A46">
      <w:pPr>
        <w:spacing w:line="312" w:lineRule="auto"/>
        <w:ind w:left="142"/>
        <w:jc w:val="both"/>
        <w:rPr>
          <w:rFonts w:ascii="Calibri" w:hAnsi="Calibri" w:cs="Calibri"/>
        </w:rPr>
      </w:pPr>
      <w:r w:rsidRPr="005E1E11">
        <w:rPr>
          <w:rFonts w:ascii="Calibri" w:hAnsi="Calibri" w:cs="Calibri"/>
        </w:rPr>
        <w:t>Technical measurements must be translated into defensible documentation.</w:t>
      </w:r>
    </w:p>
    <w:p w14:paraId="738C640C" w14:textId="77777777" w:rsidR="005E1E11" w:rsidRPr="005E1E11" w:rsidRDefault="005E1E11" w:rsidP="007B0A46">
      <w:pPr>
        <w:spacing w:line="312" w:lineRule="auto"/>
        <w:ind w:left="142"/>
        <w:jc w:val="both"/>
        <w:rPr>
          <w:rFonts w:ascii="Calibri" w:hAnsi="Calibri" w:cs="Calibri"/>
        </w:rPr>
      </w:pPr>
      <w:r w:rsidRPr="005E1E11">
        <w:rPr>
          <w:rFonts w:ascii="Calibri" w:hAnsi="Calibri" w:cs="Calibri"/>
        </w:rPr>
        <w:t>This includes:</w:t>
      </w:r>
    </w:p>
    <w:p w14:paraId="6BE72701" w14:textId="030B08D5" w:rsidR="005E1E11" w:rsidRPr="00BE0241" w:rsidRDefault="005E1E11" w:rsidP="005804D8">
      <w:pPr>
        <w:pStyle w:val="ListParagraph"/>
        <w:numPr>
          <w:ilvl w:val="0"/>
          <w:numId w:val="21"/>
        </w:numPr>
        <w:spacing w:line="312" w:lineRule="auto"/>
        <w:jc w:val="both"/>
        <w:rPr>
          <w:rFonts w:ascii="Calibri" w:hAnsi="Calibri" w:cs="Calibri"/>
        </w:rPr>
      </w:pPr>
      <w:r w:rsidRPr="00BE0241">
        <w:rPr>
          <w:rFonts w:ascii="Calibri" w:hAnsi="Calibri" w:cs="Calibri"/>
        </w:rPr>
        <w:t xml:space="preserve">Clear statement of commissioning methodology </w:t>
      </w:r>
    </w:p>
    <w:p w14:paraId="1DD03AF1" w14:textId="1CAA173E" w:rsidR="005E1E11" w:rsidRPr="00BE0241" w:rsidRDefault="005E1E11" w:rsidP="005804D8">
      <w:pPr>
        <w:pStyle w:val="ListParagraph"/>
        <w:numPr>
          <w:ilvl w:val="0"/>
          <w:numId w:val="21"/>
        </w:numPr>
        <w:spacing w:line="312" w:lineRule="auto"/>
        <w:jc w:val="both"/>
        <w:rPr>
          <w:rFonts w:ascii="Calibri" w:hAnsi="Calibri" w:cs="Calibri"/>
        </w:rPr>
      </w:pPr>
      <w:r w:rsidRPr="00BE0241">
        <w:rPr>
          <w:rFonts w:ascii="Calibri" w:hAnsi="Calibri" w:cs="Calibri"/>
        </w:rPr>
        <w:t xml:space="preserve">Benchmark values and acceptable tolerances </w:t>
      </w:r>
    </w:p>
    <w:p w14:paraId="5871E07A" w14:textId="733F66ED" w:rsidR="005E1E11" w:rsidRPr="00BE0241" w:rsidRDefault="005E1E11" w:rsidP="005804D8">
      <w:pPr>
        <w:pStyle w:val="ListParagraph"/>
        <w:numPr>
          <w:ilvl w:val="0"/>
          <w:numId w:val="21"/>
        </w:numPr>
        <w:spacing w:line="312" w:lineRule="auto"/>
        <w:jc w:val="both"/>
        <w:rPr>
          <w:rFonts w:ascii="Calibri" w:hAnsi="Calibri" w:cs="Calibri"/>
        </w:rPr>
      </w:pPr>
      <w:r w:rsidRPr="00BE0241">
        <w:rPr>
          <w:rFonts w:ascii="Calibri" w:hAnsi="Calibri" w:cs="Calibri"/>
        </w:rPr>
        <w:t xml:space="preserve">Assumptions and limitations </w:t>
      </w:r>
    </w:p>
    <w:p w14:paraId="23BD999D" w14:textId="137703B3" w:rsidR="005E1E11" w:rsidRPr="00BE0241" w:rsidRDefault="005E1E11" w:rsidP="005804D8">
      <w:pPr>
        <w:pStyle w:val="ListParagraph"/>
        <w:numPr>
          <w:ilvl w:val="0"/>
          <w:numId w:val="21"/>
        </w:numPr>
        <w:spacing w:line="312" w:lineRule="auto"/>
        <w:jc w:val="both"/>
        <w:rPr>
          <w:rFonts w:ascii="Calibri" w:hAnsi="Calibri" w:cs="Calibri"/>
        </w:rPr>
      </w:pPr>
      <w:r w:rsidRPr="00BE0241">
        <w:rPr>
          <w:rFonts w:ascii="Calibri" w:hAnsi="Calibri" w:cs="Calibri"/>
        </w:rPr>
        <w:t xml:space="preserve">Instrumentation details </w:t>
      </w:r>
      <w:r w:rsidR="00BE0241">
        <w:rPr>
          <w:rFonts w:ascii="Calibri" w:hAnsi="Calibri" w:cs="Calibri"/>
        </w:rPr>
        <w:t>(inc. calibration certs)</w:t>
      </w:r>
    </w:p>
    <w:p w14:paraId="3BBAE817" w14:textId="0B063E16" w:rsidR="005E1E11" w:rsidRPr="00BE0241" w:rsidRDefault="005E1E11" w:rsidP="005804D8">
      <w:pPr>
        <w:pStyle w:val="ListParagraph"/>
        <w:numPr>
          <w:ilvl w:val="0"/>
          <w:numId w:val="21"/>
        </w:numPr>
        <w:spacing w:line="312" w:lineRule="auto"/>
        <w:jc w:val="both"/>
        <w:rPr>
          <w:rFonts w:ascii="Calibri" w:hAnsi="Calibri" w:cs="Calibri"/>
        </w:rPr>
      </w:pPr>
      <w:r w:rsidRPr="00BE0241">
        <w:rPr>
          <w:rFonts w:ascii="Calibri" w:hAnsi="Calibri" w:cs="Calibri"/>
        </w:rPr>
        <w:t xml:space="preserve">Sign-off responsibilities </w:t>
      </w:r>
    </w:p>
    <w:p w14:paraId="0C667BD9" w14:textId="77777777" w:rsidR="005E1E11" w:rsidRPr="005E1E11" w:rsidRDefault="005E1E11" w:rsidP="007B0A46">
      <w:pPr>
        <w:spacing w:line="312" w:lineRule="auto"/>
        <w:ind w:left="142"/>
        <w:jc w:val="both"/>
        <w:rPr>
          <w:rFonts w:ascii="Calibri" w:hAnsi="Calibri" w:cs="Calibri"/>
        </w:rPr>
      </w:pPr>
      <w:r w:rsidRPr="005E1E11">
        <w:rPr>
          <w:rFonts w:ascii="Calibri" w:hAnsi="Calibri" w:cs="Calibri"/>
        </w:rPr>
        <w:t>Documentation should allow a third party to understand:</w:t>
      </w:r>
    </w:p>
    <w:p w14:paraId="52A9DDDE" w14:textId="03491ADD" w:rsidR="005E1E11" w:rsidRPr="00BE0241" w:rsidRDefault="005E1E11" w:rsidP="005804D8">
      <w:pPr>
        <w:pStyle w:val="ListParagraph"/>
        <w:numPr>
          <w:ilvl w:val="0"/>
          <w:numId w:val="22"/>
        </w:numPr>
        <w:spacing w:line="312" w:lineRule="auto"/>
        <w:jc w:val="both"/>
        <w:rPr>
          <w:rFonts w:ascii="Calibri" w:hAnsi="Calibri" w:cs="Calibri"/>
        </w:rPr>
      </w:pPr>
      <w:r w:rsidRPr="00BE0241">
        <w:rPr>
          <w:rFonts w:ascii="Calibri" w:hAnsi="Calibri" w:cs="Calibri"/>
        </w:rPr>
        <w:t xml:space="preserve">What was verified </w:t>
      </w:r>
    </w:p>
    <w:p w14:paraId="59B163AA" w14:textId="38081D10" w:rsidR="005E1E11" w:rsidRPr="00BE0241" w:rsidRDefault="005E1E11" w:rsidP="005804D8">
      <w:pPr>
        <w:pStyle w:val="ListParagraph"/>
        <w:numPr>
          <w:ilvl w:val="0"/>
          <w:numId w:val="22"/>
        </w:numPr>
        <w:spacing w:line="312" w:lineRule="auto"/>
        <w:jc w:val="both"/>
        <w:rPr>
          <w:rFonts w:ascii="Calibri" w:hAnsi="Calibri" w:cs="Calibri"/>
        </w:rPr>
      </w:pPr>
      <w:r w:rsidRPr="00BE0241">
        <w:rPr>
          <w:rFonts w:ascii="Calibri" w:hAnsi="Calibri" w:cs="Calibri"/>
        </w:rPr>
        <w:t xml:space="preserve">How it was verified </w:t>
      </w:r>
    </w:p>
    <w:p w14:paraId="05495EAE" w14:textId="4EC3A384" w:rsidR="005E1E11" w:rsidRPr="00BE0241" w:rsidRDefault="005E1E11" w:rsidP="005804D8">
      <w:pPr>
        <w:pStyle w:val="ListParagraph"/>
        <w:numPr>
          <w:ilvl w:val="0"/>
          <w:numId w:val="22"/>
        </w:numPr>
        <w:spacing w:line="312" w:lineRule="auto"/>
        <w:jc w:val="both"/>
        <w:rPr>
          <w:rFonts w:ascii="Calibri" w:hAnsi="Calibri" w:cs="Calibri"/>
        </w:rPr>
      </w:pPr>
      <w:r w:rsidRPr="00BE0241">
        <w:rPr>
          <w:rFonts w:ascii="Calibri" w:hAnsi="Calibri" w:cs="Calibri"/>
        </w:rPr>
        <w:t xml:space="preserve">Why the system is considered capable </w:t>
      </w:r>
    </w:p>
    <w:p w14:paraId="2F50EEB4" w14:textId="296CC203" w:rsidR="005E1E11" w:rsidRPr="005E1E11" w:rsidRDefault="005E1E11" w:rsidP="007B0A46">
      <w:pPr>
        <w:spacing w:line="312" w:lineRule="auto"/>
        <w:ind w:left="142"/>
        <w:jc w:val="both"/>
        <w:rPr>
          <w:rFonts w:ascii="Calibri" w:hAnsi="Calibri" w:cs="Calibri"/>
        </w:rPr>
      </w:pPr>
      <w:r w:rsidRPr="005E1E11">
        <w:rPr>
          <w:rFonts w:ascii="Calibri" w:hAnsi="Calibri" w:cs="Calibri"/>
        </w:rPr>
        <w:t>This stage transforms technical activity into governance evidence.</w:t>
      </w:r>
    </w:p>
    <w:p w14:paraId="64F4D537" w14:textId="77777777" w:rsidR="00BE0241" w:rsidRDefault="00BE0241" w:rsidP="005804D8">
      <w:pPr>
        <w:spacing w:line="312" w:lineRule="auto"/>
        <w:jc w:val="both"/>
        <w:rPr>
          <w:rFonts w:ascii="Calibri" w:hAnsi="Calibri" w:cs="Calibri"/>
        </w:rPr>
      </w:pPr>
    </w:p>
    <w:p w14:paraId="4EE22EEE" w14:textId="2C3894E8" w:rsidR="005E1E11" w:rsidRPr="00B96C7B" w:rsidRDefault="005E1E11" w:rsidP="005804D8">
      <w:pPr>
        <w:pStyle w:val="Heading2"/>
        <w:spacing w:after="160" w:line="312" w:lineRule="auto"/>
        <w:jc w:val="both"/>
      </w:pPr>
      <w:bookmarkStart w:id="26" w:name="_Toc231462498"/>
      <w:r w:rsidRPr="00B96C7B">
        <w:t>Stage 5</w:t>
      </w:r>
      <w:r w:rsidR="00133446">
        <w:t>:</w:t>
      </w:r>
      <w:r w:rsidRPr="00B96C7B">
        <w:t xml:space="preserve"> Ongoing Assurance and Change Management</w:t>
      </w:r>
      <w:bookmarkEnd w:id="26"/>
    </w:p>
    <w:p w14:paraId="562F3B7F" w14:textId="6A796227" w:rsidR="005E1E11" w:rsidRPr="005E1E11" w:rsidRDefault="005E1E11" w:rsidP="00133446">
      <w:pPr>
        <w:spacing w:line="312" w:lineRule="auto"/>
        <w:ind w:left="142"/>
        <w:jc w:val="both"/>
        <w:rPr>
          <w:rFonts w:ascii="Calibri" w:hAnsi="Calibri" w:cs="Calibri"/>
        </w:rPr>
      </w:pPr>
      <w:r w:rsidRPr="005E1E11">
        <w:rPr>
          <w:rFonts w:ascii="Calibri" w:hAnsi="Calibri" w:cs="Calibri"/>
        </w:rPr>
        <w:t xml:space="preserve">Defensible commissioning recognises that systems </w:t>
      </w:r>
      <w:r w:rsidR="00743B5F">
        <w:rPr>
          <w:rFonts w:ascii="Calibri" w:hAnsi="Calibri" w:cs="Calibri"/>
        </w:rPr>
        <w:t xml:space="preserve">can </w:t>
      </w:r>
      <w:r w:rsidRPr="005E1E11">
        <w:rPr>
          <w:rFonts w:ascii="Calibri" w:hAnsi="Calibri" w:cs="Calibri"/>
        </w:rPr>
        <w:t>degrade and processes evolve.</w:t>
      </w:r>
    </w:p>
    <w:p w14:paraId="6D0A6B93" w14:textId="77777777" w:rsidR="005E1E11" w:rsidRPr="005E1E11" w:rsidRDefault="005E1E11" w:rsidP="00133446">
      <w:pPr>
        <w:spacing w:line="312" w:lineRule="auto"/>
        <w:ind w:left="142"/>
        <w:jc w:val="both"/>
        <w:rPr>
          <w:rFonts w:ascii="Calibri" w:hAnsi="Calibri" w:cs="Calibri"/>
        </w:rPr>
      </w:pPr>
      <w:r w:rsidRPr="005E1E11">
        <w:rPr>
          <w:rFonts w:ascii="Calibri" w:hAnsi="Calibri" w:cs="Calibri"/>
        </w:rPr>
        <w:t>This stage defines:</w:t>
      </w:r>
    </w:p>
    <w:p w14:paraId="43CDCA95" w14:textId="568564F4" w:rsidR="005E1E11" w:rsidRPr="00743B5F" w:rsidRDefault="005E1E11" w:rsidP="005804D8">
      <w:pPr>
        <w:pStyle w:val="ListParagraph"/>
        <w:numPr>
          <w:ilvl w:val="0"/>
          <w:numId w:val="23"/>
        </w:numPr>
        <w:spacing w:line="312" w:lineRule="auto"/>
        <w:jc w:val="both"/>
        <w:rPr>
          <w:rFonts w:ascii="Calibri" w:hAnsi="Calibri" w:cs="Calibri"/>
        </w:rPr>
      </w:pPr>
      <w:r w:rsidRPr="00743B5F">
        <w:rPr>
          <w:rFonts w:ascii="Calibri" w:hAnsi="Calibri" w:cs="Calibri"/>
        </w:rPr>
        <w:t xml:space="preserve">How TExT references the commissioning benchmark </w:t>
      </w:r>
    </w:p>
    <w:p w14:paraId="48E18A6C" w14:textId="5ACDDEC8" w:rsidR="005E1E11" w:rsidRPr="00743B5F" w:rsidRDefault="005E1E11" w:rsidP="005804D8">
      <w:pPr>
        <w:pStyle w:val="ListParagraph"/>
        <w:numPr>
          <w:ilvl w:val="0"/>
          <w:numId w:val="23"/>
        </w:numPr>
        <w:spacing w:line="312" w:lineRule="auto"/>
        <w:jc w:val="both"/>
        <w:rPr>
          <w:rFonts w:ascii="Calibri" w:hAnsi="Calibri" w:cs="Calibri"/>
        </w:rPr>
      </w:pPr>
      <w:r w:rsidRPr="00743B5F">
        <w:rPr>
          <w:rFonts w:ascii="Calibri" w:hAnsi="Calibri" w:cs="Calibri"/>
        </w:rPr>
        <w:t xml:space="preserve">Trigger points for investigation </w:t>
      </w:r>
    </w:p>
    <w:p w14:paraId="0F883857" w14:textId="400FEA0D" w:rsidR="005E1E11" w:rsidRPr="00743B5F" w:rsidRDefault="005E1E11" w:rsidP="005804D8">
      <w:pPr>
        <w:pStyle w:val="ListParagraph"/>
        <w:numPr>
          <w:ilvl w:val="0"/>
          <w:numId w:val="23"/>
        </w:numPr>
        <w:spacing w:line="312" w:lineRule="auto"/>
        <w:jc w:val="both"/>
        <w:rPr>
          <w:rFonts w:ascii="Calibri" w:hAnsi="Calibri" w:cs="Calibri"/>
        </w:rPr>
      </w:pPr>
      <w:r w:rsidRPr="00743B5F">
        <w:rPr>
          <w:rFonts w:ascii="Calibri" w:hAnsi="Calibri" w:cs="Calibri"/>
        </w:rPr>
        <w:t xml:space="preserve">Criteria for re-commissioning </w:t>
      </w:r>
    </w:p>
    <w:p w14:paraId="77E612AE" w14:textId="416A9A3F" w:rsidR="005E1E11" w:rsidRPr="00743B5F" w:rsidRDefault="005E1E11" w:rsidP="005804D8">
      <w:pPr>
        <w:pStyle w:val="ListParagraph"/>
        <w:numPr>
          <w:ilvl w:val="0"/>
          <w:numId w:val="23"/>
        </w:numPr>
        <w:spacing w:line="312" w:lineRule="auto"/>
        <w:jc w:val="both"/>
        <w:rPr>
          <w:rFonts w:ascii="Calibri" w:hAnsi="Calibri" w:cs="Calibri"/>
        </w:rPr>
      </w:pPr>
      <w:r w:rsidRPr="00743B5F">
        <w:rPr>
          <w:rFonts w:ascii="Calibri" w:hAnsi="Calibri" w:cs="Calibri"/>
        </w:rPr>
        <w:t xml:space="preserve">Documentation retention and review </w:t>
      </w:r>
    </w:p>
    <w:p w14:paraId="31E95F03" w14:textId="0ABE3EAE" w:rsidR="005E1E11" w:rsidRPr="005E1E11" w:rsidRDefault="005E1E11" w:rsidP="00133446">
      <w:pPr>
        <w:spacing w:line="312" w:lineRule="auto"/>
        <w:ind w:left="142"/>
        <w:jc w:val="both"/>
        <w:rPr>
          <w:rFonts w:ascii="Calibri" w:hAnsi="Calibri" w:cs="Calibri"/>
        </w:rPr>
      </w:pPr>
      <w:r w:rsidRPr="005E1E11">
        <w:rPr>
          <w:rFonts w:ascii="Calibri" w:hAnsi="Calibri" w:cs="Calibri"/>
        </w:rPr>
        <w:t>It ensures that commissioning is not treated as historic paperwork but as the foundation of continuing assurance.</w:t>
      </w:r>
    </w:p>
    <w:p w14:paraId="22A12747" w14:textId="77777777" w:rsidR="00743B5F" w:rsidRDefault="00743B5F" w:rsidP="005804D8">
      <w:pPr>
        <w:spacing w:line="312" w:lineRule="auto"/>
        <w:jc w:val="both"/>
        <w:rPr>
          <w:rFonts w:ascii="Calibri" w:hAnsi="Calibri" w:cs="Calibri"/>
        </w:rPr>
      </w:pPr>
    </w:p>
    <w:p w14:paraId="60EEC643" w14:textId="7EB937DD" w:rsidR="005E1E11" w:rsidRPr="00B96C7B" w:rsidRDefault="005E1E11" w:rsidP="005804D8">
      <w:pPr>
        <w:pStyle w:val="Heading2"/>
        <w:spacing w:after="160" w:line="312" w:lineRule="auto"/>
        <w:jc w:val="both"/>
      </w:pPr>
      <w:bookmarkStart w:id="27" w:name="_Toc231462499"/>
      <w:r w:rsidRPr="00B96C7B">
        <w:t>Framework Summary</w:t>
      </w:r>
      <w:bookmarkEnd w:id="27"/>
    </w:p>
    <w:p w14:paraId="4338DFD1" w14:textId="77777777" w:rsidR="005E1E11" w:rsidRPr="005E1E11" w:rsidRDefault="005E1E11" w:rsidP="00133446">
      <w:pPr>
        <w:spacing w:line="312" w:lineRule="auto"/>
        <w:ind w:left="142"/>
        <w:jc w:val="both"/>
        <w:rPr>
          <w:rFonts w:ascii="Calibri" w:hAnsi="Calibri" w:cs="Calibri"/>
        </w:rPr>
      </w:pPr>
      <w:r w:rsidRPr="005E1E11">
        <w:rPr>
          <w:rFonts w:ascii="Calibri" w:hAnsi="Calibri" w:cs="Calibri"/>
        </w:rPr>
        <w:t xml:space="preserve">The </w:t>
      </w:r>
      <w:r w:rsidRPr="00743B5F">
        <w:rPr>
          <w:rFonts w:ascii="Calibri" w:hAnsi="Calibri" w:cs="Calibri"/>
          <w:b/>
          <w:bCs/>
        </w:rPr>
        <w:t>OXYL8 Defensible Commissioning Framework™</w:t>
      </w:r>
      <w:r w:rsidRPr="005E1E11">
        <w:rPr>
          <w:rFonts w:ascii="Calibri" w:hAnsi="Calibri" w:cs="Calibri"/>
        </w:rPr>
        <w:t xml:space="preserve"> reinforces that:</w:t>
      </w:r>
    </w:p>
    <w:p w14:paraId="77EF28D8" w14:textId="77777777" w:rsidR="005E1E11" w:rsidRPr="00743B5F" w:rsidRDefault="005E1E11" w:rsidP="005804D8">
      <w:pPr>
        <w:pStyle w:val="ListParagraph"/>
        <w:numPr>
          <w:ilvl w:val="0"/>
          <w:numId w:val="24"/>
        </w:numPr>
        <w:spacing w:line="312" w:lineRule="auto"/>
        <w:jc w:val="both"/>
        <w:rPr>
          <w:rFonts w:ascii="Calibri" w:hAnsi="Calibri" w:cs="Calibri"/>
        </w:rPr>
      </w:pPr>
      <w:r w:rsidRPr="00743B5F">
        <w:rPr>
          <w:rFonts w:ascii="Calibri" w:hAnsi="Calibri" w:cs="Calibri"/>
        </w:rPr>
        <w:t>Design intent must be explicit.</w:t>
      </w:r>
    </w:p>
    <w:p w14:paraId="2CFED118" w14:textId="77777777" w:rsidR="005E1E11" w:rsidRPr="00743B5F" w:rsidRDefault="005E1E11" w:rsidP="005804D8">
      <w:pPr>
        <w:pStyle w:val="ListParagraph"/>
        <w:numPr>
          <w:ilvl w:val="0"/>
          <w:numId w:val="24"/>
        </w:numPr>
        <w:spacing w:line="312" w:lineRule="auto"/>
        <w:jc w:val="both"/>
        <w:rPr>
          <w:rFonts w:ascii="Calibri" w:hAnsi="Calibri" w:cs="Calibri"/>
        </w:rPr>
      </w:pPr>
      <w:r w:rsidRPr="00743B5F">
        <w:rPr>
          <w:rFonts w:ascii="Calibri" w:hAnsi="Calibri" w:cs="Calibri"/>
        </w:rPr>
        <w:t>Capability must be demonstrated.</w:t>
      </w:r>
    </w:p>
    <w:p w14:paraId="46A84B7A" w14:textId="256CC377" w:rsidR="005E1E11" w:rsidRPr="00743B5F" w:rsidRDefault="005E1E11" w:rsidP="005804D8">
      <w:pPr>
        <w:pStyle w:val="ListParagraph"/>
        <w:numPr>
          <w:ilvl w:val="0"/>
          <w:numId w:val="24"/>
        </w:numPr>
        <w:spacing w:line="312" w:lineRule="auto"/>
        <w:jc w:val="both"/>
        <w:rPr>
          <w:rFonts w:ascii="Calibri" w:hAnsi="Calibri" w:cs="Calibri"/>
        </w:rPr>
      </w:pPr>
      <w:r w:rsidRPr="00743B5F">
        <w:rPr>
          <w:rFonts w:ascii="Calibri" w:hAnsi="Calibri" w:cs="Calibri"/>
        </w:rPr>
        <w:lastRenderedPageBreak/>
        <w:t>Performance must be benchmarked.</w:t>
      </w:r>
    </w:p>
    <w:p w14:paraId="41646548" w14:textId="77777777" w:rsidR="005E1E11" w:rsidRPr="00743B5F" w:rsidRDefault="005E1E11" w:rsidP="005804D8">
      <w:pPr>
        <w:pStyle w:val="ListParagraph"/>
        <w:numPr>
          <w:ilvl w:val="0"/>
          <w:numId w:val="24"/>
        </w:numPr>
        <w:spacing w:line="312" w:lineRule="auto"/>
        <w:jc w:val="both"/>
        <w:rPr>
          <w:rFonts w:ascii="Calibri" w:hAnsi="Calibri" w:cs="Calibri"/>
        </w:rPr>
      </w:pPr>
      <w:r w:rsidRPr="00743B5F">
        <w:rPr>
          <w:rFonts w:ascii="Calibri" w:hAnsi="Calibri" w:cs="Calibri"/>
        </w:rPr>
        <w:t>Evidence must be documented.</w:t>
      </w:r>
    </w:p>
    <w:p w14:paraId="438E4C74" w14:textId="6A14EFD4" w:rsidR="005E1E11" w:rsidRPr="00743B5F" w:rsidRDefault="005E1E11" w:rsidP="005804D8">
      <w:pPr>
        <w:pStyle w:val="ListParagraph"/>
        <w:numPr>
          <w:ilvl w:val="0"/>
          <w:numId w:val="24"/>
        </w:numPr>
        <w:spacing w:line="312" w:lineRule="auto"/>
        <w:jc w:val="both"/>
        <w:rPr>
          <w:rFonts w:ascii="Calibri" w:hAnsi="Calibri" w:cs="Calibri"/>
        </w:rPr>
      </w:pPr>
      <w:r w:rsidRPr="00743B5F">
        <w:rPr>
          <w:rFonts w:ascii="Calibri" w:hAnsi="Calibri" w:cs="Calibri"/>
        </w:rPr>
        <w:t>Assurance must be ongoing.</w:t>
      </w:r>
    </w:p>
    <w:p w14:paraId="4517DB0D" w14:textId="659A4CC6" w:rsidR="005E1E11" w:rsidRPr="005E1E11" w:rsidRDefault="005E1E11" w:rsidP="007B0A46">
      <w:pPr>
        <w:spacing w:line="312" w:lineRule="auto"/>
        <w:ind w:left="142"/>
        <w:jc w:val="both"/>
        <w:rPr>
          <w:rFonts w:ascii="Calibri" w:hAnsi="Calibri" w:cs="Calibri"/>
        </w:rPr>
      </w:pPr>
      <w:r w:rsidRPr="005E1E11">
        <w:rPr>
          <w:rFonts w:ascii="Calibri" w:hAnsi="Calibri" w:cs="Calibri"/>
        </w:rPr>
        <w:t>When these five stages are satisfied, commissioning provides governance-level confidence.</w:t>
      </w:r>
    </w:p>
    <w:p w14:paraId="1F7A63D1" w14:textId="761A0EEB" w:rsidR="005E1E11" w:rsidRDefault="005E1E11" w:rsidP="007B0A46">
      <w:pPr>
        <w:spacing w:line="312" w:lineRule="auto"/>
        <w:ind w:left="142"/>
        <w:jc w:val="both"/>
        <w:rPr>
          <w:rFonts w:ascii="Calibri" w:hAnsi="Calibri" w:cs="Calibri"/>
        </w:rPr>
      </w:pPr>
      <w:r w:rsidRPr="005E1E11">
        <w:rPr>
          <w:rFonts w:ascii="Calibri" w:hAnsi="Calibri" w:cs="Calibri"/>
        </w:rPr>
        <w:t>When they are not, commissioning becomes procedural rather than defensible.</w:t>
      </w:r>
    </w:p>
    <w:p w14:paraId="026821AE" w14:textId="33653BF2" w:rsidR="003D75E6" w:rsidRDefault="003D75E6" w:rsidP="003D75E6">
      <w:pPr>
        <w:jc w:val="center"/>
        <w:rPr>
          <w:b/>
          <w:bCs/>
          <w:i/>
          <w:iCs/>
          <w:color w:val="FFC000"/>
        </w:rPr>
      </w:pPr>
      <w:r>
        <w:rPr>
          <w:rFonts w:ascii="Calibri" w:hAnsi="Calibri" w:cs="Calibri"/>
          <w:noProof/>
        </w:rPr>
        <mc:AlternateContent>
          <mc:Choice Requires="wps">
            <w:drawing>
              <wp:anchor distT="0" distB="0" distL="114300" distR="114300" simplePos="0" relativeHeight="251670528" behindDoc="1" locked="0" layoutInCell="1" allowOverlap="1" wp14:anchorId="3B270561" wp14:editId="5ED8C222">
                <wp:simplePos x="0" y="0"/>
                <wp:positionH relativeFrom="margin">
                  <wp:posOffset>107950</wp:posOffset>
                </wp:positionH>
                <wp:positionV relativeFrom="paragraph">
                  <wp:posOffset>125095</wp:posOffset>
                </wp:positionV>
                <wp:extent cx="5994400" cy="1308100"/>
                <wp:effectExtent l="0" t="0" r="25400" b="25400"/>
                <wp:wrapNone/>
                <wp:docPr id="1030448102" name="Rectangle 5"/>
                <wp:cNvGraphicFramePr/>
                <a:graphic xmlns:a="http://schemas.openxmlformats.org/drawingml/2006/main">
                  <a:graphicData uri="http://schemas.microsoft.com/office/word/2010/wordprocessingShape">
                    <wps:wsp>
                      <wps:cNvSpPr/>
                      <wps:spPr>
                        <a:xfrm>
                          <a:off x="0" y="0"/>
                          <a:ext cx="5994400" cy="1308100"/>
                        </a:xfrm>
                        <a:prstGeom prst="rect">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416FA" id="Rectangle 5" o:spid="_x0000_s1026" style="position:absolute;margin-left:8.5pt;margin-top:9.85pt;width:472pt;height:103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" fillcolor="#156082 [3204]" strokecolor="white [3201]" strokeweight="1.5pt">
                <w10:wrap anchorx="margin"/>
              </v:rect>
            </w:pict>
          </mc:Fallback>
        </mc:AlternateContent>
      </w:r>
    </w:p>
    <w:p w14:paraId="35541DBF" w14:textId="4358B301" w:rsidR="005E1E11" w:rsidRPr="003D75E6" w:rsidRDefault="005E1E11" w:rsidP="003D75E6">
      <w:pPr>
        <w:jc w:val="center"/>
        <w:rPr>
          <w:b/>
          <w:bCs/>
          <w:i/>
          <w:iCs/>
          <w:color w:val="FFC000"/>
        </w:rPr>
      </w:pPr>
      <w:r w:rsidRPr="003D75E6">
        <w:rPr>
          <w:b/>
          <w:bCs/>
          <w:i/>
          <w:iCs/>
          <w:color w:val="FFC000"/>
        </w:rPr>
        <w:t>Commissioning is not a technical courtesy extended at handover.</w:t>
      </w:r>
    </w:p>
    <w:p w14:paraId="7705F389" w14:textId="704966E6" w:rsidR="005E1E11" w:rsidRPr="003D75E6" w:rsidRDefault="005E1E11" w:rsidP="003D75E6">
      <w:pPr>
        <w:jc w:val="center"/>
        <w:rPr>
          <w:b/>
          <w:bCs/>
          <w:i/>
          <w:iCs/>
          <w:color w:val="FFC000"/>
        </w:rPr>
      </w:pPr>
      <w:r w:rsidRPr="003D75E6">
        <w:rPr>
          <w:b/>
          <w:bCs/>
          <w:i/>
          <w:iCs/>
          <w:color w:val="FFC000"/>
        </w:rPr>
        <w:t xml:space="preserve">It is the structured demonstration that exposure control </w:t>
      </w:r>
      <w:proofErr w:type="gramStart"/>
      <w:r w:rsidRPr="003D75E6">
        <w:rPr>
          <w:b/>
          <w:bCs/>
          <w:i/>
          <w:iCs/>
          <w:color w:val="FFC000"/>
        </w:rPr>
        <w:t>is capable of achieving</w:t>
      </w:r>
      <w:proofErr w:type="gramEnd"/>
      <w:r w:rsidRPr="003D75E6">
        <w:rPr>
          <w:b/>
          <w:bCs/>
          <w:i/>
          <w:iCs/>
          <w:color w:val="FFC000"/>
        </w:rPr>
        <w:t xml:space="preserve"> its intended purpose</w:t>
      </w:r>
      <w:r w:rsidR="005804D8" w:rsidRPr="003D75E6">
        <w:rPr>
          <w:b/>
          <w:bCs/>
          <w:i/>
          <w:iCs/>
          <w:color w:val="FFC000"/>
        </w:rPr>
        <w:t>,</w:t>
      </w:r>
      <w:r w:rsidRPr="003D75E6">
        <w:rPr>
          <w:b/>
          <w:bCs/>
          <w:i/>
          <w:iCs/>
          <w:color w:val="FFC000"/>
        </w:rPr>
        <w:t xml:space="preserve"> and that this capability can be </w:t>
      </w:r>
      <w:r w:rsidR="005804D8" w:rsidRPr="003D75E6">
        <w:rPr>
          <w:b/>
          <w:bCs/>
          <w:i/>
          <w:iCs/>
          <w:color w:val="FFC000"/>
        </w:rPr>
        <w:br/>
      </w:r>
      <w:r w:rsidRPr="003D75E6">
        <w:rPr>
          <w:b/>
          <w:bCs/>
          <w:i/>
          <w:iCs/>
          <w:color w:val="FFC000"/>
        </w:rPr>
        <w:t>evidenced under scrutiny.</w:t>
      </w:r>
    </w:p>
    <w:p w14:paraId="4D480371" w14:textId="0D44385D" w:rsidR="005E1E11" w:rsidRPr="005E1E11" w:rsidRDefault="005E1E11" w:rsidP="00377AF2">
      <w:pPr>
        <w:jc w:val="both"/>
        <w:rPr>
          <w:rFonts w:ascii="Calibri" w:hAnsi="Calibri" w:cs="Calibri"/>
        </w:rPr>
      </w:pPr>
      <w:r w:rsidRPr="005E1E11">
        <w:rPr>
          <w:rFonts w:ascii="Calibri" w:hAnsi="Calibri" w:cs="Calibri"/>
        </w:rPr>
        <w:t> </w:t>
      </w:r>
    </w:p>
    <w:p w14:paraId="77EA630C" w14:textId="1C8B26BE" w:rsidR="005E1E11" w:rsidRPr="00B669C0" w:rsidRDefault="005E1E11" w:rsidP="00377AF2">
      <w:pPr>
        <w:pStyle w:val="Heading1"/>
        <w:jc w:val="both"/>
      </w:pPr>
      <w:bookmarkStart w:id="28" w:name="_Toc231462500"/>
      <w:r w:rsidRPr="00B669C0">
        <w:t xml:space="preserve">Section </w:t>
      </w:r>
      <w:r w:rsidR="005804D8">
        <w:t>5</w:t>
      </w:r>
      <w:r w:rsidR="003B7911">
        <w:t>:</w:t>
      </w:r>
      <w:r w:rsidRPr="00B669C0">
        <w:t xml:space="preserve"> Governance Implications</w:t>
      </w:r>
      <w:bookmarkEnd w:id="28"/>
    </w:p>
    <w:p w14:paraId="75E6AAD5" w14:textId="7AC32A1D" w:rsidR="005E1E11" w:rsidRPr="00B96C7B" w:rsidRDefault="005E1E11" w:rsidP="00133446">
      <w:pPr>
        <w:pStyle w:val="Heading2"/>
        <w:spacing w:after="160" w:line="312" w:lineRule="auto"/>
        <w:jc w:val="both"/>
      </w:pPr>
      <w:bookmarkStart w:id="29" w:name="_Toc231462501"/>
      <w:r w:rsidRPr="00B96C7B">
        <w:t>Commissioning as a Board-Level Assurance Function</w:t>
      </w:r>
      <w:bookmarkEnd w:id="29"/>
    </w:p>
    <w:p w14:paraId="5813C8F6" w14:textId="015D2580" w:rsidR="005E1E11" w:rsidRPr="005E1E11" w:rsidRDefault="005E1E11" w:rsidP="00133446">
      <w:pPr>
        <w:spacing w:line="312" w:lineRule="auto"/>
        <w:ind w:left="142"/>
        <w:jc w:val="both"/>
        <w:rPr>
          <w:rFonts w:ascii="Calibri" w:hAnsi="Calibri" w:cs="Calibri"/>
        </w:rPr>
      </w:pPr>
      <w:r w:rsidRPr="005E1E11">
        <w:rPr>
          <w:rFonts w:ascii="Calibri" w:hAnsi="Calibri" w:cs="Calibri"/>
        </w:rPr>
        <w:t>Commissioning of LEV systems is often treated as a technical engineering exercise. In governance terms, it is considerably more than that.</w:t>
      </w:r>
    </w:p>
    <w:p w14:paraId="0A117444" w14:textId="4C3BBC97" w:rsidR="005E1E11" w:rsidRPr="005E1E11" w:rsidRDefault="005E1E11" w:rsidP="00DD0FF9">
      <w:pPr>
        <w:spacing w:line="312" w:lineRule="auto"/>
        <w:ind w:left="142"/>
        <w:jc w:val="both"/>
        <w:rPr>
          <w:rFonts w:ascii="Calibri" w:hAnsi="Calibri" w:cs="Calibri"/>
        </w:rPr>
      </w:pPr>
      <w:r w:rsidRPr="005E1E11">
        <w:rPr>
          <w:rFonts w:ascii="Calibri" w:hAnsi="Calibri" w:cs="Calibri"/>
        </w:rPr>
        <w:t>Under the Control of Substances Hazardous to Health (C</w:t>
      </w:r>
      <w:r w:rsidR="00743B5F">
        <w:rPr>
          <w:rFonts w:ascii="Calibri" w:hAnsi="Calibri" w:cs="Calibri"/>
        </w:rPr>
        <w:t>o</w:t>
      </w:r>
      <w:r w:rsidRPr="005E1E11">
        <w:rPr>
          <w:rFonts w:ascii="Calibri" w:hAnsi="Calibri" w:cs="Calibri"/>
        </w:rPr>
        <w:t>SHH) Regulations, the Duty Holder must ensure that exposure to hazardous substances is prevented or adequately controlled. This obligation is not delegated by appointing a contractor, consultant or commissioning engineer. Legal accountability remains with the employer or responsible person.</w:t>
      </w:r>
    </w:p>
    <w:p w14:paraId="67A20E12" w14:textId="29AA308E" w:rsidR="00743B5F" w:rsidRDefault="005E1E11" w:rsidP="00DD0FF9">
      <w:pPr>
        <w:spacing w:line="312" w:lineRule="auto"/>
        <w:ind w:left="142"/>
        <w:jc w:val="both"/>
        <w:rPr>
          <w:rFonts w:ascii="Calibri" w:hAnsi="Calibri" w:cs="Calibri"/>
        </w:rPr>
      </w:pPr>
      <w:r w:rsidRPr="005E1E11">
        <w:rPr>
          <w:rFonts w:ascii="Calibri" w:hAnsi="Calibri" w:cs="Calibri"/>
        </w:rPr>
        <w:t xml:space="preserve">For this reason, commissioning must be understood not only as technical verification, but as the establishment of defensible evidence that exposure control </w:t>
      </w:r>
      <w:proofErr w:type="gramStart"/>
      <w:r w:rsidRPr="005E1E11">
        <w:rPr>
          <w:rFonts w:ascii="Calibri" w:hAnsi="Calibri" w:cs="Calibri"/>
        </w:rPr>
        <w:t>is capable of achieving</w:t>
      </w:r>
      <w:proofErr w:type="gramEnd"/>
      <w:r w:rsidRPr="005E1E11">
        <w:rPr>
          <w:rFonts w:ascii="Calibri" w:hAnsi="Calibri" w:cs="Calibri"/>
        </w:rPr>
        <w:t xml:space="preserve"> its intended purpose.</w:t>
      </w:r>
    </w:p>
    <w:p w14:paraId="509D693A" w14:textId="58AA317C" w:rsidR="005804D8" w:rsidRDefault="005804D8" w:rsidP="005804D8">
      <w:pPr>
        <w:spacing w:line="312" w:lineRule="auto"/>
        <w:jc w:val="both"/>
        <w:rPr>
          <w:rFonts w:ascii="Calibri" w:hAnsi="Calibri" w:cs="Calibri"/>
        </w:rPr>
      </w:pPr>
    </w:p>
    <w:p w14:paraId="2E58889D" w14:textId="51699D73" w:rsidR="005E1E11" w:rsidRPr="00B96C7B" w:rsidRDefault="00DF222E" w:rsidP="005804D8">
      <w:pPr>
        <w:pStyle w:val="Heading2"/>
        <w:spacing w:after="160" w:line="312" w:lineRule="auto"/>
        <w:jc w:val="both"/>
      </w:pPr>
      <w:bookmarkStart w:id="30" w:name="_Toc231462502"/>
      <w:r>
        <w:t>5</w:t>
      </w:r>
      <w:r w:rsidR="005E1E11" w:rsidRPr="00B96C7B">
        <w:t>.1 Commissioning as Evidence of Control</w:t>
      </w:r>
      <w:bookmarkEnd w:id="30"/>
    </w:p>
    <w:p w14:paraId="157DC2A8" w14:textId="1A6C90A1" w:rsidR="005E1E11" w:rsidRPr="005E1E11" w:rsidRDefault="005E1E11" w:rsidP="00DD0FF9">
      <w:pPr>
        <w:spacing w:line="312" w:lineRule="auto"/>
        <w:ind w:left="142"/>
        <w:jc w:val="both"/>
        <w:rPr>
          <w:rFonts w:ascii="Calibri" w:hAnsi="Calibri" w:cs="Calibri"/>
        </w:rPr>
      </w:pPr>
      <w:r w:rsidRPr="005E1E11">
        <w:rPr>
          <w:rFonts w:ascii="Calibri" w:hAnsi="Calibri" w:cs="Calibri"/>
        </w:rPr>
        <w:t>From a governance perspective, commissioning documentation may become critical evidence in the event of:</w:t>
      </w:r>
    </w:p>
    <w:p w14:paraId="14A175C9" w14:textId="25967CF4" w:rsidR="005E1E11" w:rsidRPr="00743B5F" w:rsidRDefault="005E1E11" w:rsidP="005804D8">
      <w:pPr>
        <w:pStyle w:val="ListParagraph"/>
        <w:numPr>
          <w:ilvl w:val="0"/>
          <w:numId w:val="25"/>
        </w:numPr>
        <w:spacing w:line="312" w:lineRule="auto"/>
        <w:jc w:val="both"/>
        <w:rPr>
          <w:rFonts w:ascii="Calibri" w:hAnsi="Calibri" w:cs="Calibri"/>
        </w:rPr>
      </w:pPr>
      <w:r w:rsidRPr="00743B5F">
        <w:rPr>
          <w:rFonts w:ascii="Calibri" w:hAnsi="Calibri" w:cs="Calibri"/>
        </w:rPr>
        <w:t xml:space="preserve">Regulatory inspection or intervention </w:t>
      </w:r>
    </w:p>
    <w:p w14:paraId="11304FD4" w14:textId="4F4E2C3E" w:rsidR="005E1E11" w:rsidRPr="00743B5F" w:rsidRDefault="005E1E11" w:rsidP="005804D8">
      <w:pPr>
        <w:pStyle w:val="ListParagraph"/>
        <w:numPr>
          <w:ilvl w:val="0"/>
          <w:numId w:val="25"/>
        </w:numPr>
        <w:spacing w:line="312" w:lineRule="auto"/>
        <w:jc w:val="both"/>
        <w:rPr>
          <w:rFonts w:ascii="Calibri" w:hAnsi="Calibri" w:cs="Calibri"/>
        </w:rPr>
      </w:pPr>
      <w:r w:rsidRPr="00743B5F">
        <w:rPr>
          <w:rFonts w:ascii="Calibri" w:hAnsi="Calibri" w:cs="Calibri"/>
        </w:rPr>
        <w:t xml:space="preserve">Improvement or </w:t>
      </w:r>
      <w:r w:rsidR="00044CBA">
        <w:rPr>
          <w:rFonts w:ascii="Calibri" w:hAnsi="Calibri" w:cs="Calibri"/>
        </w:rPr>
        <w:t>P</w:t>
      </w:r>
      <w:r w:rsidRPr="00743B5F">
        <w:rPr>
          <w:rFonts w:ascii="Calibri" w:hAnsi="Calibri" w:cs="Calibri"/>
        </w:rPr>
        <w:t xml:space="preserve">rohibition </w:t>
      </w:r>
      <w:r w:rsidR="00044CBA">
        <w:rPr>
          <w:rFonts w:ascii="Calibri" w:hAnsi="Calibri" w:cs="Calibri"/>
        </w:rPr>
        <w:t>N</w:t>
      </w:r>
      <w:r w:rsidRPr="00743B5F">
        <w:rPr>
          <w:rFonts w:ascii="Calibri" w:hAnsi="Calibri" w:cs="Calibri"/>
        </w:rPr>
        <w:t xml:space="preserve">otice </w:t>
      </w:r>
    </w:p>
    <w:p w14:paraId="05732726" w14:textId="2A41A401" w:rsidR="005E1E11" w:rsidRPr="00743B5F" w:rsidRDefault="005E1E11" w:rsidP="005804D8">
      <w:pPr>
        <w:pStyle w:val="ListParagraph"/>
        <w:numPr>
          <w:ilvl w:val="0"/>
          <w:numId w:val="25"/>
        </w:numPr>
        <w:spacing w:line="312" w:lineRule="auto"/>
        <w:jc w:val="both"/>
        <w:rPr>
          <w:rFonts w:ascii="Calibri" w:hAnsi="Calibri" w:cs="Calibri"/>
        </w:rPr>
      </w:pPr>
      <w:r w:rsidRPr="00743B5F">
        <w:rPr>
          <w:rFonts w:ascii="Calibri" w:hAnsi="Calibri" w:cs="Calibri"/>
        </w:rPr>
        <w:t xml:space="preserve">Occupational illness investigation </w:t>
      </w:r>
    </w:p>
    <w:p w14:paraId="2DB199F3" w14:textId="72632F74" w:rsidR="005E1E11" w:rsidRPr="00743B5F" w:rsidRDefault="005E1E11" w:rsidP="005804D8">
      <w:pPr>
        <w:pStyle w:val="ListParagraph"/>
        <w:numPr>
          <w:ilvl w:val="0"/>
          <w:numId w:val="25"/>
        </w:numPr>
        <w:spacing w:line="312" w:lineRule="auto"/>
        <w:jc w:val="both"/>
        <w:rPr>
          <w:rFonts w:ascii="Calibri" w:hAnsi="Calibri" w:cs="Calibri"/>
        </w:rPr>
      </w:pPr>
      <w:r w:rsidRPr="00743B5F">
        <w:rPr>
          <w:rFonts w:ascii="Calibri" w:hAnsi="Calibri" w:cs="Calibri"/>
        </w:rPr>
        <w:lastRenderedPageBreak/>
        <w:t xml:space="preserve">Civil litigation </w:t>
      </w:r>
    </w:p>
    <w:p w14:paraId="116BBB26" w14:textId="5CE53E2A" w:rsidR="005E1E11" w:rsidRPr="00743B5F" w:rsidRDefault="005E1E11" w:rsidP="005804D8">
      <w:pPr>
        <w:pStyle w:val="ListParagraph"/>
        <w:numPr>
          <w:ilvl w:val="0"/>
          <w:numId w:val="25"/>
        </w:numPr>
        <w:spacing w:line="312" w:lineRule="auto"/>
        <w:jc w:val="both"/>
        <w:rPr>
          <w:rFonts w:ascii="Calibri" w:hAnsi="Calibri" w:cs="Calibri"/>
        </w:rPr>
      </w:pPr>
      <w:r w:rsidRPr="00743B5F">
        <w:rPr>
          <w:rFonts w:ascii="Calibri" w:hAnsi="Calibri" w:cs="Calibri"/>
        </w:rPr>
        <w:t xml:space="preserve">Corporate due diligence review </w:t>
      </w:r>
    </w:p>
    <w:p w14:paraId="6CF7594C" w14:textId="0994DDC9" w:rsidR="005E1E11" w:rsidRPr="00743B5F" w:rsidRDefault="005E1E11" w:rsidP="005804D8">
      <w:pPr>
        <w:pStyle w:val="ListParagraph"/>
        <w:numPr>
          <w:ilvl w:val="0"/>
          <w:numId w:val="25"/>
        </w:numPr>
        <w:spacing w:line="312" w:lineRule="auto"/>
        <w:jc w:val="both"/>
        <w:rPr>
          <w:rFonts w:ascii="Calibri" w:hAnsi="Calibri" w:cs="Calibri"/>
        </w:rPr>
      </w:pPr>
      <w:r w:rsidRPr="00743B5F">
        <w:rPr>
          <w:rFonts w:ascii="Calibri" w:hAnsi="Calibri" w:cs="Calibri"/>
        </w:rPr>
        <w:t xml:space="preserve">Acquisition or merger activity </w:t>
      </w:r>
    </w:p>
    <w:p w14:paraId="6829B729" w14:textId="0A71AB11" w:rsidR="005E1E11" w:rsidRPr="005E1E11" w:rsidRDefault="005E1E11" w:rsidP="00DD0FF9">
      <w:pPr>
        <w:spacing w:line="312" w:lineRule="auto"/>
        <w:ind w:left="142"/>
        <w:jc w:val="both"/>
        <w:rPr>
          <w:rFonts w:ascii="Calibri" w:hAnsi="Calibri" w:cs="Calibri"/>
        </w:rPr>
      </w:pPr>
      <w:r w:rsidRPr="005E1E11">
        <w:rPr>
          <w:rFonts w:ascii="Calibri" w:hAnsi="Calibri" w:cs="Calibri"/>
        </w:rPr>
        <w:t>In each of these scenarios, the question is not simply whether an LEV system exists or has been tested.</w:t>
      </w:r>
      <w:r w:rsidR="00044CBA">
        <w:rPr>
          <w:rFonts w:ascii="Calibri" w:hAnsi="Calibri" w:cs="Calibri"/>
        </w:rPr>
        <w:t xml:space="preserve"> </w:t>
      </w:r>
      <w:r w:rsidRPr="005E1E11">
        <w:rPr>
          <w:rFonts w:ascii="Calibri" w:hAnsi="Calibri" w:cs="Calibri"/>
        </w:rPr>
        <w:t>The question is whether the organisation can demonstrate that it exercised reasonable care to ensure effective control.</w:t>
      </w:r>
    </w:p>
    <w:p w14:paraId="23649828" w14:textId="77777777" w:rsidR="005E1E11" w:rsidRPr="005E1E11" w:rsidRDefault="005E1E11" w:rsidP="00DD0FF9">
      <w:pPr>
        <w:spacing w:line="312" w:lineRule="auto"/>
        <w:ind w:left="142"/>
        <w:jc w:val="both"/>
        <w:rPr>
          <w:rFonts w:ascii="Calibri" w:hAnsi="Calibri" w:cs="Calibri"/>
        </w:rPr>
      </w:pPr>
      <w:r w:rsidRPr="005E1E11">
        <w:rPr>
          <w:rFonts w:ascii="Calibri" w:hAnsi="Calibri" w:cs="Calibri"/>
        </w:rPr>
        <w:t>Commissioning records form the foundation of that demonstration.</w:t>
      </w:r>
    </w:p>
    <w:p w14:paraId="652DFE76" w14:textId="491C21B1" w:rsidR="005E1E11" w:rsidRPr="005E1E11" w:rsidRDefault="005E1E11" w:rsidP="00DD0FF9">
      <w:pPr>
        <w:spacing w:line="312" w:lineRule="auto"/>
        <w:ind w:left="142"/>
        <w:jc w:val="both"/>
        <w:rPr>
          <w:rFonts w:ascii="Calibri" w:hAnsi="Calibri" w:cs="Calibri"/>
        </w:rPr>
      </w:pPr>
      <w:r w:rsidRPr="005E1E11">
        <w:rPr>
          <w:rFonts w:ascii="Calibri" w:hAnsi="Calibri" w:cs="Calibri"/>
        </w:rPr>
        <w:t>Where commissioning evidence clearly defines:</w:t>
      </w:r>
    </w:p>
    <w:p w14:paraId="3087DD18" w14:textId="40373678" w:rsidR="005E1E11" w:rsidRPr="00044CBA" w:rsidRDefault="005E1E11" w:rsidP="005804D8">
      <w:pPr>
        <w:pStyle w:val="ListParagraph"/>
        <w:numPr>
          <w:ilvl w:val="0"/>
          <w:numId w:val="26"/>
        </w:numPr>
        <w:spacing w:line="312" w:lineRule="auto"/>
        <w:jc w:val="both"/>
        <w:rPr>
          <w:rFonts w:ascii="Calibri" w:hAnsi="Calibri" w:cs="Calibri"/>
        </w:rPr>
      </w:pPr>
      <w:r w:rsidRPr="00044CBA">
        <w:rPr>
          <w:rFonts w:ascii="Calibri" w:hAnsi="Calibri" w:cs="Calibri"/>
        </w:rPr>
        <w:t xml:space="preserve">Design intent </w:t>
      </w:r>
    </w:p>
    <w:p w14:paraId="6739AE98" w14:textId="7089F041" w:rsidR="005E1E11" w:rsidRPr="00044CBA" w:rsidRDefault="005E1E11" w:rsidP="005804D8">
      <w:pPr>
        <w:pStyle w:val="ListParagraph"/>
        <w:numPr>
          <w:ilvl w:val="0"/>
          <w:numId w:val="26"/>
        </w:numPr>
        <w:spacing w:line="312" w:lineRule="auto"/>
        <w:jc w:val="both"/>
        <w:rPr>
          <w:rFonts w:ascii="Calibri" w:hAnsi="Calibri" w:cs="Calibri"/>
        </w:rPr>
      </w:pPr>
      <w:r w:rsidRPr="00044CBA">
        <w:rPr>
          <w:rFonts w:ascii="Calibri" w:hAnsi="Calibri" w:cs="Calibri"/>
        </w:rPr>
        <w:t xml:space="preserve">Measured performance benchmarks </w:t>
      </w:r>
    </w:p>
    <w:p w14:paraId="2AEBE4FF" w14:textId="51EFA876" w:rsidR="005E1E11" w:rsidRPr="00044CBA" w:rsidRDefault="005E1E11" w:rsidP="005804D8">
      <w:pPr>
        <w:pStyle w:val="ListParagraph"/>
        <w:numPr>
          <w:ilvl w:val="0"/>
          <w:numId w:val="26"/>
        </w:numPr>
        <w:spacing w:line="312" w:lineRule="auto"/>
        <w:jc w:val="both"/>
        <w:rPr>
          <w:rFonts w:ascii="Calibri" w:hAnsi="Calibri" w:cs="Calibri"/>
        </w:rPr>
      </w:pPr>
      <w:r w:rsidRPr="00044CBA">
        <w:rPr>
          <w:rFonts w:ascii="Calibri" w:hAnsi="Calibri" w:cs="Calibri"/>
        </w:rPr>
        <w:t xml:space="preserve">Methodology used </w:t>
      </w:r>
    </w:p>
    <w:p w14:paraId="36BCD411" w14:textId="16AC994E" w:rsidR="005E1E11" w:rsidRPr="00044CBA" w:rsidRDefault="005E1E11" w:rsidP="005804D8">
      <w:pPr>
        <w:pStyle w:val="ListParagraph"/>
        <w:numPr>
          <w:ilvl w:val="0"/>
          <w:numId w:val="26"/>
        </w:numPr>
        <w:spacing w:line="312" w:lineRule="auto"/>
        <w:jc w:val="both"/>
        <w:rPr>
          <w:rFonts w:ascii="Calibri" w:hAnsi="Calibri" w:cs="Calibri"/>
        </w:rPr>
      </w:pPr>
      <w:r w:rsidRPr="00044CBA">
        <w:rPr>
          <w:rFonts w:ascii="Calibri" w:hAnsi="Calibri" w:cs="Calibri"/>
        </w:rPr>
        <w:t xml:space="preserve">Assumptions and limitations </w:t>
      </w:r>
    </w:p>
    <w:p w14:paraId="05206A52" w14:textId="1120E64F" w:rsidR="005E1E11" w:rsidRPr="00044CBA" w:rsidRDefault="005E1E11" w:rsidP="005804D8">
      <w:pPr>
        <w:pStyle w:val="ListParagraph"/>
        <w:numPr>
          <w:ilvl w:val="0"/>
          <w:numId w:val="26"/>
        </w:numPr>
        <w:spacing w:line="312" w:lineRule="auto"/>
        <w:jc w:val="both"/>
        <w:rPr>
          <w:rFonts w:ascii="Calibri" w:hAnsi="Calibri" w:cs="Calibri"/>
        </w:rPr>
      </w:pPr>
      <w:r w:rsidRPr="00044CBA">
        <w:rPr>
          <w:rFonts w:ascii="Calibri" w:hAnsi="Calibri" w:cs="Calibri"/>
        </w:rPr>
        <w:t xml:space="preserve">Competence of those involved </w:t>
      </w:r>
    </w:p>
    <w:p w14:paraId="479B6C9C" w14:textId="75784BB9" w:rsidR="005E1E11" w:rsidRPr="005E1E11" w:rsidRDefault="005804D8" w:rsidP="00DD0FF9">
      <w:pPr>
        <w:spacing w:line="312" w:lineRule="auto"/>
        <w:ind w:left="142"/>
        <w:jc w:val="both"/>
        <w:rPr>
          <w:rFonts w:ascii="Calibri" w:hAnsi="Calibri" w:cs="Calibri"/>
        </w:rPr>
      </w:pPr>
      <w:r>
        <w:rPr>
          <w:rFonts w:ascii="Calibri" w:hAnsi="Calibri" w:cs="Calibri"/>
        </w:rPr>
        <w:t>T</w:t>
      </w:r>
      <w:r w:rsidR="005E1E11" w:rsidRPr="005E1E11">
        <w:rPr>
          <w:rFonts w:ascii="Calibri" w:hAnsi="Calibri" w:cs="Calibri"/>
        </w:rPr>
        <w:t>he organisation is better placed to demonstrate structured and informed control.</w:t>
      </w:r>
    </w:p>
    <w:p w14:paraId="30A26594" w14:textId="7BA017FB" w:rsidR="005E1E11" w:rsidRDefault="005E1E11" w:rsidP="00DD0FF9">
      <w:pPr>
        <w:spacing w:line="312" w:lineRule="auto"/>
        <w:ind w:left="142"/>
        <w:jc w:val="both"/>
        <w:rPr>
          <w:rFonts w:ascii="Calibri" w:hAnsi="Calibri" w:cs="Calibri"/>
        </w:rPr>
      </w:pPr>
      <w:r w:rsidRPr="005E1E11">
        <w:rPr>
          <w:rFonts w:ascii="Calibri" w:hAnsi="Calibri" w:cs="Calibri"/>
        </w:rPr>
        <w:t>Where commissioning is poorly documented or lacks technical clarity, governance risk increases significantly.</w:t>
      </w:r>
    </w:p>
    <w:p w14:paraId="21EB1747" w14:textId="7E645C26" w:rsidR="00044CBA" w:rsidRDefault="00044CBA" w:rsidP="005804D8">
      <w:pPr>
        <w:spacing w:line="312" w:lineRule="auto"/>
        <w:jc w:val="both"/>
        <w:rPr>
          <w:rFonts w:ascii="Calibri" w:hAnsi="Calibri" w:cs="Calibri"/>
        </w:rPr>
      </w:pPr>
    </w:p>
    <w:p w14:paraId="1775D571" w14:textId="135CA7E0" w:rsidR="005E1E11" w:rsidRPr="00B96C7B" w:rsidRDefault="00DF222E" w:rsidP="005804D8">
      <w:pPr>
        <w:pStyle w:val="Heading2"/>
        <w:spacing w:after="160" w:line="312" w:lineRule="auto"/>
        <w:jc w:val="both"/>
      </w:pPr>
      <w:bookmarkStart w:id="31" w:name="_Toc231462503"/>
      <w:r>
        <w:t>5</w:t>
      </w:r>
      <w:r w:rsidR="005E1E11" w:rsidRPr="00B96C7B">
        <w:t>.2 Duty Holder Accountability and Role Separation</w:t>
      </w:r>
      <w:bookmarkEnd w:id="31"/>
    </w:p>
    <w:p w14:paraId="1E8A1656" w14:textId="77550CC1" w:rsidR="005E1E11" w:rsidRDefault="005E1E11" w:rsidP="00DD0FF9">
      <w:pPr>
        <w:spacing w:line="312" w:lineRule="auto"/>
        <w:ind w:left="142"/>
        <w:jc w:val="both"/>
        <w:rPr>
          <w:rFonts w:ascii="Calibri" w:hAnsi="Calibri" w:cs="Calibri"/>
        </w:rPr>
      </w:pPr>
      <w:r w:rsidRPr="005E1E11">
        <w:rPr>
          <w:rFonts w:ascii="Calibri" w:hAnsi="Calibri" w:cs="Calibri"/>
        </w:rPr>
        <w:t>A recurring governance risk arises from misunderstanding the distinction between operational delivery and legal accountability.</w:t>
      </w:r>
    </w:p>
    <w:p w14:paraId="3287A341" w14:textId="22FDEE39" w:rsidR="005E1E11" w:rsidRPr="003D75E6" w:rsidRDefault="003D75E6" w:rsidP="003D75E6">
      <w:pPr>
        <w:jc w:val="center"/>
        <w:rPr>
          <w:b/>
          <w:bCs/>
          <w:i/>
          <w:iCs/>
          <w:color w:val="FFC000"/>
        </w:rPr>
      </w:pPr>
      <w:r>
        <w:rPr>
          <w:rFonts w:ascii="Calibri" w:hAnsi="Calibri" w:cs="Calibri"/>
          <w:noProof/>
        </w:rPr>
        <mc:AlternateContent>
          <mc:Choice Requires="wps">
            <w:drawing>
              <wp:anchor distT="0" distB="0" distL="114300" distR="114300" simplePos="0" relativeHeight="251672576" behindDoc="1" locked="0" layoutInCell="1" allowOverlap="1" wp14:anchorId="4DB777EE" wp14:editId="2298428F">
                <wp:simplePos x="0" y="0"/>
                <wp:positionH relativeFrom="margin">
                  <wp:align>center</wp:align>
                </wp:positionH>
                <wp:positionV relativeFrom="paragraph">
                  <wp:posOffset>8890</wp:posOffset>
                </wp:positionV>
                <wp:extent cx="5994400" cy="1244600"/>
                <wp:effectExtent l="0" t="0" r="25400" b="12700"/>
                <wp:wrapNone/>
                <wp:docPr id="837136549" name="Rectangle 5"/>
                <wp:cNvGraphicFramePr/>
                <a:graphic xmlns:a="http://schemas.openxmlformats.org/drawingml/2006/main">
                  <a:graphicData uri="http://schemas.microsoft.com/office/word/2010/wordprocessingShape">
                    <wps:wsp>
                      <wps:cNvSpPr/>
                      <wps:spPr>
                        <a:xfrm>
                          <a:off x="0" y="0"/>
                          <a:ext cx="5994400" cy="1244600"/>
                        </a:xfrm>
                        <a:prstGeom prst="rect">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3EE91" id="Rectangle 5" o:spid="_x0000_s1026" style="position:absolute;margin-left:0;margin-top:.7pt;width:472pt;height:98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" fillcolor="#156082 [3204]" strokecolor="white [3201]" strokeweight="1.5pt">
                <w10:wrap anchorx="margin"/>
              </v:rect>
            </w:pict>
          </mc:Fallback>
        </mc:AlternateContent>
      </w:r>
      <w:r>
        <w:rPr>
          <w:rFonts w:ascii="Calibri" w:hAnsi="Calibri" w:cs="Calibri"/>
        </w:rPr>
        <w:br/>
      </w:r>
      <w:r w:rsidR="005E1E11" w:rsidRPr="003D75E6">
        <w:rPr>
          <w:b/>
          <w:bCs/>
          <w:i/>
          <w:iCs/>
          <w:color w:val="FFC000"/>
        </w:rPr>
        <w:t>Contractors may design, install and commission systems.</w:t>
      </w:r>
    </w:p>
    <w:p w14:paraId="188ECF6E" w14:textId="507C57D3" w:rsidR="005E1E11" w:rsidRPr="003D75E6" w:rsidRDefault="005E1E11" w:rsidP="003D75E6">
      <w:pPr>
        <w:jc w:val="center"/>
        <w:rPr>
          <w:b/>
          <w:bCs/>
          <w:i/>
          <w:iCs/>
          <w:color w:val="FFC000"/>
        </w:rPr>
      </w:pPr>
      <w:r w:rsidRPr="003D75E6">
        <w:rPr>
          <w:b/>
          <w:bCs/>
          <w:i/>
          <w:iCs/>
          <w:color w:val="FFC000"/>
        </w:rPr>
        <w:t>Consultants may advise and measure.</w:t>
      </w:r>
    </w:p>
    <w:p w14:paraId="39B86822" w14:textId="1B398908" w:rsidR="005E1E11" w:rsidRPr="003D75E6" w:rsidRDefault="005E1E11" w:rsidP="003D75E6">
      <w:pPr>
        <w:jc w:val="center"/>
        <w:rPr>
          <w:b/>
          <w:bCs/>
          <w:i/>
          <w:iCs/>
          <w:color w:val="FFC000"/>
        </w:rPr>
      </w:pPr>
      <w:r w:rsidRPr="003D75E6">
        <w:rPr>
          <w:b/>
          <w:bCs/>
          <w:i/>
          <w:iCs/>
          <w:color w:val="FFC000"/>
        </w:rPr>
        <w:t>Maintenance teams may undertake servicing and statutory testing.</w:t>
      </w:r>
      <w:r w:rsidR="003D75E6">
        <w:rPr>
          <w:b/>
          <w:bCs/>
          <w:i/>
          <w:iCs/>
          <w:color w:val="FFC000"/>
        </w:rPr>
        <w:br/>
      </w:r>
    </w:p>
    <w:p w14:paraId="727FAA87" w14:textId="77777777" w:rsidR="005E1E11" w:rsidRPr="005E1E11" w:rsidRDefault="005E1E11" w:rsidP="00DD0FF9">
      <w:pPr>
        <w:spacing w:line="312" w:lineRule="auto"/>
        <w:ind w:left="142"/>
        <w:jc w:val="both"/>
        <w:rPr>
          <w:rFonts w:ascii="Calibri" w:hAnsi="Calibri" w:cs="Calibri"/>
        </w:rPr>
      </w:pPr>
      <w:r w:rsidRPr="005E1E11">
        <w:rPr>
          <w:rFonts w:ascii="Calibri" w:hAnsi="Calibri" w:cs="Calibri"/>
        </w:rPr>
        <w:t xml:space="preserve">However, the </w:t>
      </w:r>
      <w:r w:rsidRPr="001967FD">
        <w:rPr>
          <w:rFonts w:ascii="Calibri" w:hAnsi="Calibri" w:cs="Calibri"/>
          <w:b/>
          <w:bCs/>
        </w:rPr>
        <w:t>Duty Holder</w:t>
      </w:r>
      <w:r w:rsidRPr="005E1E11">
        <w:rPr>
          <w:rFonts w:ascii="Calibri" w:hAnsi="Calibri" w:cs="Calibri"/>
        </w:rPr>
        <w:t xml:space="preserve"> retains responsibility for ensuring that:</w:t>
      </w:r>
    </w:p>
    <w:p w14:paraId="26BDF681" w14:textId="62A85F92" w:rsidR="005E1E11" w:rsidRPr="00044CBA" w:rsidRDefault="005E1E11" w:rsidP="005804D8">
      <w:pPr>
        <w:pStyle w:val="ListParagraph"/>
        <w:numPr>
          <w:ilvl w:val="0"/>
          <w:numId w:val="27"/>
        </w:numPr>
        <w:spacing w:line="312" w:lineRule="auto"/>
        <w:jc w:val="both"/>
        <w:rPr>
          <w:rFonts w:ascii="Calibri" w:hAnsi="Calibri" w:cs="Calibri"/>
        </w:rPr>
      </w:pPr>
      <w:r w:rsidRPr="00044CBA">
        <w:rPr>
          <w:rFonts w:ascii="Calibri" w:hAnsi="Calibri" w:cs="Calibri"/>
        </w:rPr>
        <w:t xml:space="preserve">Those appointed are competent </w:t>
      </w:r>
    </w:p>
    <w:p w14:paraId="60A67745" w14:textId="48E7F6EC" w:rsidR="005E1E11" w:rsidRPr="00044CBA" w:rsidRDefault="005E1E11" w:rsidP="005804D8">
      <w:pPr>
        <w:pStyle w:val="ListParagraph"/>
        <w:numPr>
          <w:ilvl w:val="0"/>
          <w:numId w:val="27"/>
        </w:numPr>
        <w:spacing w:line="312" w:lineRule="auto"/>
        <w:jc w:val="both"/>
        <w:rPr>
          <w:rFonts w:ascii="Calibri" w:hAnsi="Calibri" w:cs="Calibri"/>
        </w:rPr>
      </w:pPr>
      <w:r w:rsidRPr="00044CBA">
        <w:rPr>
          <w:rFonts w:ascii="Calibri" w:hAnsi="Calibri" w:cs="Calibri"/>
        </w:rPr>
        <w:t xml:space="preserve">Commissioning has established effective control </w:t>
      </w:r>
    </w:p>
    <w:p w14:paraId="6D3A8C0C" w14:textId="2A221603" w:rsidR="005E1E11" w:rsidRPr="00044CBA" w:rsidRDefault="005E1E11" w:rsidP="005804D8">
      <w:pPr>
        <w:pStyle w:val="ListParagraph"/>
        <w:numPr>
          <w:ilvl w:val="0"/>
          <w:numId w:val="27"/>
        </w:numPr>
        <w:spacing w:line="312" w:lineRule="auto"/>
        <w:jc w:val="both"/>
        <w:rPr>
          <w:rFonts w:ascii="Calibri" w:hAnsi="Calibri" w:cs="Calibri"/>
        </w:rPr>
      </w:pPr>
      <w:r w:rsidRPr="00044CBA">
        <w:rPr>
          <w:rFonts w:ascii="Calibri" w:hAnsi="Calibri" w:cs="Calibri"/>
        </w:rPr>
        <w:t xml:space="preserve">Documentation is sufficient and accurate </w:t>
      </w:r>
    </w:p>
    <w:p w14:paraId="7A1B9D78" w14:textId="0CA853AD" w:rsidR="005E1E11" w:rsidRPr="00044CBA" w:rsidRDefault="005E1E11" w:rsidP="005804D8">
      <w:pPr>
        <w:pStyle w:val="ListParagraph"/>
        <w:numPr>
          <w:ilvl w:val="0"/>
          <w:numId w:val="27"/>
        </w:numPr>
        <w:spacing w:line="312" w:lineRule="auto"/>
        <w:jc w:val="both"/>
        <w:rPr>
          <w:rFonts w:ascii="Calibri" w:hAnsi="Calibri" w:cs="Calibri"/>
        </w:rPr>
      </w:pPr>
      <w:r w:rsidRPr="00044CBA">
        <w:rPr>
          <w:rFonts w:ascii="Calibri" w:hAnsi="Calibri" w:cs="Calibri"/>
        </w:rPr>
        <w:t xml:space="preserve">Ongoing assurance mechanisms are in place </w:t>
      </w:r>
    </w:p>
    <w:p w14:paraId="10750134" w14:textId="77777777" w:rsidR="005E1E11" w:rsidRPr="005E1E11" w:rsidRDefault="005E1E11" w:rsidP="00DD0FF9">
      <w:pPr>
        <w:spacing w:line="312" w:lineRule="auto"/>
        <w:ind w:left="142"/>
        <w:jc w:val="both"/>
        <w:rPr>
          <w:rFonts w:ascii="Calibri" w:hAnsi="Calibri" w:cs="Calibri"/>
        </w:rPr>
      </w:pPr>
      <w:r w:rsidRPr="005E1E11">
        <w:rPr>
          <w:rFonts w:ascii="Calibri" w:hAnsi="Calibri" w:cs="Calibri"/>
        </w:rPr>
        <w:lastRenderedPageBreak/>
        <w:t>Governance failure often occurs where technical reliance substitutes for managerial oversight.</w:t>
      </w:r>
    </w:p>
    <w:p w14:paraId="73BBDE10" w14:textId="77777777" w:rsidR="005E1E11" w:rsidRPr="005E1E11" w:rsidRDefault="005E1E11" w:rsidP="00DD0FF9">
      <w:pPr>
        <w:spacing w:line="312" w:lineRule="auto"/>
        <w:ind w:left="142"/>
        <w:jc w:val="both"/>
        <w:rPr>
          <w:rFonts w:ascii="Calibri" w:hAnsi="Calibri" w:cs="Calibri"/>
        </w:rPr>
      </w:pPr>
      <w:r w:rsidRPr="005E1E11">
        <w:rPr>
          <w:rFonts w:ascii="Calibri" w:hAnsi="Calibri" w:cs="Calibri"/>
        </w:rPr>
        <w:t>The Duty Holder must be able to ask and answer:</w:t>
      </w:r>
    </w:p>
    <w:p w14:paraId="0942F22B" w14:textId="2A3E6719" w:rsidR="005E1E11" w:rsidRPr="00044CBA" w:rsidRDefault="005E1E11" w:rsidP="005804D8">
      <w:pPr>
        <w:pStyle w:val="ListParagraph"/>
        <w:numPr>
          <w:ilvl w:val="0"/>
          <w:numId w:val="28"/>
        </w:numPr>
        <w:spacing w:line="312" w:lineRule="auto"/>
        <w:jc w:val="both"/>
        <w:rPr>
          <w:rFonts w:ascii="Calibri" w:hAnsi="Calibri" w:cs="Calibri"/>
        </w:rPr>
      </w:pPr>
      <w:r w:rsidRPr="00044CBA">
        <w:rPr>
          <w:rFonts w:ascii="Calibri" w:hAnsi="Calibri" w:cs="Calibri"/>
        </w:rPr>
        <w:t xml:space="preserve">What was the design basis for this system? </w:t>
      </w:r>
    </w:p>
    <w:p w14:paraId="685113E4" w14:textId="7A08667A" w:rsidR="005E1E11" w:rsidRPr="00044CBA" w:rsidRDefault="005E1E11" w:rsidP="005804D8">
      <w:pPr>
        <w:pStyle w:val="ListParagraph"/>
        <w:numPr>
          <w:ilvl w:val="0"/>
          <w:numId w:val="28"/>
        </w:numPr>
        <w:spacing w:line="312" w:lineRule="auto"/>
        <w:jc w:val="both"/>
        <w:rPr>
          <w:rFonts w:ascii="Calibri" w:hAnsi="Calibri" w:cs="Calibri"/>
        </w:rPr>
      </w:pPr>
      <w:r w:rsidRPr="00044CBA">
        <w:rPr>
          <w:rFonts w:ascii="Calibri" w:hAnsi="Calibri" w:cs="Calibri"/>
        </w:rPr>
        <w:t xml:space="preserve">How was capability verified? </w:t>
      </w:r>
    </w:p>
    <w:p w14:paraId="0974FB7B" w14:textId="35F1FD00" w:rsidR="005E1E11" w:rsidRPr="00044CBA" w:rsidRDefault="005E1E11" w:rsidP="005804D8">
      <w:pPr>
        <w:pStyle w:val="ListParagraph"/>
        <w:numPr>
          <w:ilvl w:val="0"/>
          <w:numId w:val="28"/>
        </w:numPr>
        <w:spacing w:line="312" w:lineRule="auto"/>
        <w:jc w:val="both"/>
        <w:rPr>
          <w:rFonts w:ascii="Calibri" w:hAnsi="Calibri" w:cs="Calibri"/>
        </w:rPr>
      </w:pPr>
      <w:r w:rsidRPr="00044CBA">
        <w:rPr>
          <w:rFonts w:ascii="Calibri" w:hAnsi="Calibri" w:cs="Calibri"/>
        </w:rPr>
        <w:t xml:space="preserve">What benchmark was established? </w:t>
      </w:r>
    </w:p>
    <w:p w14:paraId="67E05581" w14:textId="1A6C7F96" w:rsidR="005E1E11" w:rsidRPr="00044CBA" w:rsidRDefault="005E1E11" w:rsidP="005804D8">
      <w:pPr>
        <w:pStyle w:val="ListParagraph"/>
        <w:numPr>
          <w:ilvl w:val="0"/>
          <w:numId w:val="28"/>
        </w:numPr>
        <w:spacing w:line="312" w:lineRule="auto"/>
        <w:jc w:val="both"/>
        <w:rPr>
          <w:rFonts w:ascii="Calibri" w:hAnsi="Calibri" w:cs="Calibri"/>
        </w:rPr>
      </w:pPr>
      <w:r w:rsidRPr="00044CBA">
        <w:rPr>
          <w:rFonts w:ascii="Calibri" w:hAnsi="Calibri" w:cs="Calibri"/>
        </w:rPr>
        <w:t xml:space="preserve">How do we know it remains adequate? </w:t>
      </w:r>
    </w:p>
    <w:p w14:paraId="7673C9F3" w14:textId="7ECDC6B5" w:rsidR="00044CBA" w:rsidRDefault="005E1E11" w:rsidP="00DD0FF9">
      <w:pPr>
        <w:spacing w:line="312" w:lineRule="auto"/>
        <w:ind w:left="142"/>
        <w:jc w:val="both"/>
        <w:rPr>
          <w:rFonts w:ascii="Calibri" w:hAnsi="Calibri" w:cs="Calibri"/>
        </w:rPr>
      </w:pPr>
      <w:r w:rsidRPr="005E1E11">
        <w:rPr>
          <w:rFonts w:ascii="Calibri" w:hAnsi="Calibri" w:cs="Calibri"/>
        </w:rPr>
        <w:t>If these questions cannot be answered clearly, governance exposure exists.</w:t>
      </w:r>
    </w:p>
    <w:p w14:paraId="20C73111" w14:textId="77777777" w:rsidR="00DF222E" w:rsidRDefault="00DF222E" w:rsidP="005804D8">
      <w:pPr>
        <w:spacing w:line="312" w:lineRule="auto"/>
        <w:jc w:val="both"/>
        <w:rPr>
          <w:rFonts w:ascii="Calibri" w:hAnsi="Calibri" w:cs="Calibri"/>
        </w:rPr>
      </w:pPr>
    </w:p>
    <w:p w14:paraId="2D0C052A" w14:textId="6B4571A3" w:rsidR="005E1E11" w:rsidRPr="00B96C7B" w:rsidRDefault="00DF222E" w:rsidP="005804D8">
      <w:pPr>
        <w:pStyle w:val="Heading2"/>
        <w:spacing w:after="160" w:line="312" w:lineRule="auto"/>
        <w:jc w:val="both"/>
      </w:pPr>
      <w:bookmarkStart w:id="32" w:name="_Toc231462504"/>
      <w:r>
        <w:t>5</w:t>
      </w:r>
      <w:r w:rsidR="005E1E11" w:rsidRPr="00B96C7B">
        <w:t>.3 Independence and Conflict Considerations</w:t>
      </w:r>
      <w:bookmarkEnd w:id="32"/>
    </w:p>
    <w:p w14:paraId="412EDB93" w14:textId="4A3868BB" w:rsidR="005E1E11" w:rsidRPr="005E1E11" w:rsidRDefault="005E1E11" w:rsidP="00DD0FF9">
      <w:pPr>
        <w:spacing w:line="312" w:lineRule="auto"/>
        <w:ind w:left="142"/>
        <w:jc w:val="both"/>
        <w:rPr>
          <w:rFonts w:ascii="Calibri" w:hAnsi="Calibri" w:cs="Calibri"/>
        </w:rPr>
      </w:pPr>
      <w:r w:rsidRPr="005E1E11">
        <w:rPr>
          <w:rFonts w:ascii="Calibri" w:hAnsi="Calibri" w:cs="Calibri"/>
        </w:rPr>
        <w:t xml:space="preserve">Where </w:t>
      </w:r>
      <w:r w:rsidR="00044CBA">
        <w:rPr>
          <w:rFonts w:ascii="Calibri" w:hAnsi="Calibri" w:cs="Calibri"/>
        </w:rPr>
        <w:t xml:space="preserve">LEV </w:t>
      </w:r>
      <w:r w:rsidRPr="005E1E11">
        <w:rPr>
          <w:rFonts w:ascii="Calibri" w:hAnsi="Calibri" w:cs="Calibri"/>
        </w:rPr>
        <w:t xml:space="preserve">commissioning is conducted within a commercially integrated </w:t>
      </w:r>
      <w:r w:rsidR="00044CBA">
        <w:rPr>
          <w:rFonts w:ascii="Calibri" w:hAnsi="Calibri" w:cs="Calibri"/>
        </w:rPr>
        <w:t>design/</w:t>
      </w:r>
      <w:r w:rsidRPr="005E1E11">
        <w:rPr>
          <w:rFonts w:ascii="Calibri" w:hAnsi="Calibri" w:cs="Calibri"/>
        </w:rPr>
        <w:t>installation model, there is potential for perceived or actual conflict of interest.</w:t>
      </w:r>
    </w:p>
    <w:p w14:paraId="3DAA5C89" w14:textId="7116A4FF" w:rsidR="005E1E11" w:rsidRPr="005E1E11" w:rsidRDefault="005E1E11" w:rsidP="00DD0FF9">
      <w:pPr>
        <w:spacing w:line="312" w:lineRule="auto"/>
        <w:ind w:left="142"/>
        <w:jc w:val="both"/>
        <w:rPr>
          <w:rFonts w:ascii="Calibri" w:hAnsi="Calibri" w:cs="Calibri"/>
        </w:rPr>
      </w:pPr>
      <w:r w:rsidRPr="005E1E11">
        <w:rPr>
          <w:rFonts w:ascii="Calibri" w:hAnsi="Calibri" w:cs="Calibri"/>
        </w:rPr>
        <w:t xml:space="preserve">This does not imply impropriety. </w:t>
      </w:r>
      <w:r w:rsidR="00044CBA">
        <w:rPr>
          <w:rFonts w:ascii="Calibri" w:hAnsi="Calibri" w:cs="Calibri"/>
        </w:rPr>
        <w:t xml:space="preserve"> </w:t>
      </w:r>
      <w:r w:rsidRPr="005E1E11">
        <w:rPr>
          <w:rFonts w:ascii="Calibri" w:hAnsi="Calibri" w:cs="Calibri"/>
        </w:rPr>
        <w:t>However, from a governance standpoint, independence strengthens evidential robustness.</w:t>
      </w:r>
    </w:p>
    <w:p w14:paraId="4BACCE35" w14:textId="77777777" w:rsidR="005E1E11" w:rsidRPr="005E1E11" w:rsidRDefault="005E1E11" w:rsidP="00DD0FF9">
      <w:pPr>
        <w:spacing w:line="312" w:lineRule="auto"/>
        <w:ind w:left="142"/>
        <w:jc w:val="both"/>
        <w:rPr>
          <w:rFonts w:ascii="Calibri" w:hAnsi="Calibri" w:cs="Calibri"/>
        </w:rPr>
      </w:pPr>
      <w:r w:rsidRPr="005E1E11">
        <w:rPr>
          <w:rFonts w:ascii="Calibri" w:hAnsi="Calibri" w:cs="Calibri"/>
        </w:rPr>
        <w:t>An independent or transparently structured commissioning process can provide:</w:t>
      </w:r>
    </w:p>
    <w:p w14:paraId="3F6FAA4F" w14:textId="75082774" w:rsidR="005E1E11" w:rsidRPr="00044CBA" w:rsidRDefault="005E1E11" w:rsidP="005804D8">
      <w:pPr>
        <w:pStyle w:val="ListParagraph"/>
        <w:numPr>
          <w:ilvl w:val="0"/>
          <w:numId w:val="29"/>
        </w:numPr>
        <w:spacing w:line="312" w:lineRule="auto"/>
        <w:jc w:val="both"/>
        <w:rPr>
          <w:rFonts w:ascii="Calibri" w:hAnsi="Calibri" w:cs="Calibri"/>
        </w:rPr>
      </w:pPr>
      <w:r w:rsidRPr="00044CBA">
        <w:rPr>
          <w:rFonts w:ascii="Calibri" w:hAnsi="Calibri" w:cs="Calibri"/>
        </w:rPr>
        <w:t xml:space="preserve">Objective evaluation of design adequacy </w:t>
      </w:r>
    </w:p>
    <w:p w14:paraId="39E5777C" w14:textId="761B3A95" w:rsidR="005E1E11" w:rsidRPr="00044CBA" w:rsidRDefault="005E1E11" w:rsidP="005804D8">
      <w:pPr>
        <w:pStyle w:val="ListParagraph"/>
        <w:numPr>
          <w:ilvl w:val="0"/>
          <w:numId w:val="29"/>
        </w:numPr>
        <w:spacing w:line="312" w:lineRule="auto"/>
        <w:jc w:val="both"/>
        <w:rPr>
          <w:rFonts w:ascii="Calibri" w:hAnsi="Calibri" w:cs="Calibri"/>
        </w:rPr>
      </w:pPr>
      <w:r w:rsidRPr="00044CBA">
        <w:rPr>
          <w:rFonts w:ascii="Calibri" w:hAnsi="Calibri" w:cs="Calibri"/>
        </w:rPr>
        <w:t xml:space="preserve">Clear documentation of deviations </w:t>
      </w:r>
    </w:p>
    <w:p w14:paraId="3325A145" w14:textId="4DD95C63" w:rsidR="005E1E11" w:rsidRPr="00044CBA" w:rsidRDefault="005E1E11" w:rsidP="005804D8">
      <w:pPr>
        <w:pStyle w:val="ListParagraph"/>
        <w:numPr>
          <w:ilvl w:val="0"/>
          <w:numId w:val="29"/>
        </w:numPr>
        <w:spacing w:line="312" w:lineRule="auto"/>
        <w:jc w:val="both"/>
        <w:rPr>
          <w:rFonts w:ascii="Calibri" w:hAnsi="Calibri" w:cs="Calibri"/>
        </w:rPr>
      </w:pPr>
      <w:r w:rsidRPr="00044CBA">
        <w:rPr>
          <w:rFonts w:ascii="Calibri" w:hAnsi="Calibri" w:cs="Calibri"/>
        </w:rPr>
        <w:t xml:space="preserve">Reduced perception of bias </w:t>
      </w:r>
    </w:p>
    <w:p w14:paraId="45A8AA02" w14:textId="4AE3B55D" w:rsidR="005E1E11" w:rsidRPr="00044CBA" w:rsidRDefault="005E1E11" w:rsidP="005804D8">
      <w:pPr>
        <w:pStyle w:val="ListParagraph"/>
        <w:numPr>
          <w:ilvl w:val="0"/>
          <w:numId w:val="29"/>
        </w:numPr>
        <w:spacing w:line="312" w:lineRule="auto"/>
        <w:jc w:val="both"/>
        <w:rPr>
          <w:rFonts w:ascii="Calibri" w:hAnsi="Calibri" w:cs="Calibri"/>
        </w:rPr>
      </w:pPr>
      <w:r w:rsidRPr="00044CBA">
        <w:rPr>
          <w:rFonts w:ascii="Calibri" w:hAnsi="Calibri" w:cs="Calibri"/>
        </w:rPr>
        <w:t xml:space="preserve">Increased defensibility under scrutiny </w:t>
      </w:r>
    </w:p>
    <w:p w14:paraId="728EF5AD" w14:textId="77777777" w:rsidR="005E1E11" w:rsidRPr="005E1E11" w:rsidRDefault="005E1E11" w:rsidP="00DD0FF9">
      <w:pPr>
        <w:spacing w:line="312" w:lineRule="auto"/>
        <w:ind w:left="142"/>
        <w:jc w:val="both"/>
        <w:rPr>
          <w:rFonts w:ascii="Calibri" w:hAnsi="Calibri" w:cs="Calibri"/>
        </w:rPr>
      </w:pPr>
      <w:r w:rsidRPr="005E1E11">
        <w:rPr>
          <w:rFonts w:ascii="Calibri" w:hAnsi="Calibri" w:cs="Calibri"/>
        </w:rPr>
        <w:t>Duty Holders should consider whether commissioning arrangements allow for objective verification of performance, particularly in higher-risk environments.</w:t>
      </w:r>
    </w:p>
    <w:p w14:paraId="7AF1FE2D" w14:textId="6867FC15" w:rsidR="00D66C84" w:rsidRDefault="005E1E11" w:rsidP="00DD0FF9">
      <w:pPr>
        <w:spacing w:line="312" w:lineRule="auto"/>
        <w:ind w:left="142"/>
        <w:jc w:val="both"/>
        <w:rPr>
          <w:rFonts w:ascii="Calibri" w:hAnsi="Calibri" w:cs="Calibri"/>
        </w:rPr>
      </w:pPr>
      <w:r w:rsidRPr="005E1E11">
        <w:rPr>
          <w:rFonts w:ascii="Calibri" w:hAnsi="Calibri" w:cs="Calibri"/>
        </w:rPr>
        <w:t>Governance strength increases when technical verification is demonstrably independent of commercial delivery pressures</w:t>
      </w:r>
      <w:r w:rsidR="00DF222E">
        <w:rPr>
          <w:rFonts w:ascii="Calibri" w:hAnsi="Calibri" w:cs="Calibri"/>
        </w:rPr>
        <w:t>.</w:t>
      </w:r>
    </w:p>
    <w:p w14:paraId="1519EE02" w14:textId="77777777" w:rsidR="00DF222E" w:rsidRPr="00DF222E" w:rsidRDefault="00DF222E" w:rsidP="005804D8">
      <w:pPr>
        <w:spacing w:line="312" w:lineRule="auto"/>
        <w:jc w:val="both"/>
        <w:rPr>
          <w:rFonts w:ascii="Calibri" w:hAnsi="Calibri" w:cs="Calibri"/>
        </w:rPr>
      </w:pPr>
    </w:p>
    <w:p w14:paraId="7559C1DC" w14:textId="1ECC7083" w:rsidR="005E1E11" w:rsidRPr="00B96C7B" w:rsidRDefault="00DF222E" w:rsidP="005804D8">
      <w:pPr>
        <w:pStyle w:val="Heading2"/>
        <w:spacing w:after="160" w:line="312" w:lineRule="auto"/>
        <w:jc w:val="both"/>
      </w:pPr>
      <w:bookmarkStart w:id="33" w:name="_Toc231462505"/>
      <w:r>
        <w:t>5</w:t>
      </w:r>
      <w:r w:rsidR="005E1E11" w:rsidRPr="00B96C7B">
        <w:t>.4 Documentation as Governance Asset</w:t>
      </w:r>
      <w:bookmarkEnd w:id="33"/>
    </w:p>
    <w:p w14:paraId="0F6F076A" w14:textId="154DDC94" w:rsidR="005E1E11" w:rsidRPr="005E1E11" w:rsidRDefault="005E1E11" w:rsidP="00DD0FF9">
      <w:pPr>
        <w:spacing w:line="312" w:lineRule="auto"/>
        <w:ind w:left="142"/>
        <w:jc w:val="both"/>
        <w:rPr>
          <w:rFonts w:ascii="Calibri" w:hAnsi="Calibri" w:cs="Calibri"/>
        </w:rPr>
      </w:pPr>
      <w:r w:rsidRPr="005E1E11">
        <w:rPr>
          <w:rFonts w:ascii="Calibri" w:hAnsi="Calibri" w:cs="Calibri"/>
        </w:rPr>
        <w:t>Commissioning documentation should not be viewed as an operational file retained for reference. It is a governance asset.</w:t>
      </w:r>
    </w:p>
    <w:p w14:paraId="317C35F7" w14:textId="77777777" w:rsidR="005E1E11" w:rsidRDefault="005E1E11" w:rsidP="00DD0FF9">
      <w:pPr>
        <w:spacing w:line="312" w:lineRule="auto"/>
        <w:ind w:left="142"/>
        <w:jc w:val="both"/>
        <w:rPr>
          <w:rFonts w:ascii="Calibri" w:hAnsi="Calibri" w:cs="Calibri"/>
        </w:rPr>
      </w:pPr>
      <w:r w:rsidRPr="005E1E11">
        <w:rPr>
          <w:rFonts w:ascii="Calibri" w:hAnsi="Calibri" w:cs="Calibri"/>
        </w:rPr>
        <w:t>Effective documentation should:</w:t>
      </w:r>
    </w:p>
    <w:p w14:paraId="1731C710" w14:textId="32FC752C" w:rsidR="00DF222E" w:rsidRPr="00D66C84" w:rsidRDefault="00DF222E" w:rsidP="00DF222E">
      <w:pPr>
        <w:pStyle w:val="ListParagraph"/>
        <w:numPr>
          <w:ilvl w:val="0"/>
          <w:numId w:val="30"/>
        </w:numPr>
        <w:spacing w:line="312" w:lineRule="auto"/>
        <w:jc w:val="both"/>
        <w:rPr>
          <w:rFonts w:ascii="Calibri" w:hAnsi="Calibri" w:cs="Calibri"/>
        </w:rPr>
      </w:pPr>
      <w:r>
        <w:rPr>
          <w:rFonts w:ascii="Calibri" w:hAnsi="Calibri" w:cs="Calibri"/>
        </w:rPr>
        <w:t>Be retained centrally</w:t>
      </w:r>
    </w:p>
    <w:p w14:paraId="6BAE804F" w14:textId="1FE867C9" w:rsidR="00DF222E" w:rsidRPr="00D66C84" w:rsidRDefault="00DF222E" w:rsidP="00DF222E">
      <w:pPr>
        <w:pStyle w:val="ListParagraph"/>
        <w:numPr>
          <w:ilvl w:val="0"/>
          <w:numId w:val="30"/>
        </w:numPr>
        <w:spacing w:line="312" w:lineRule="auto"/>
        <w:jc w:val="both"/>
        <w:rPr>
          <w:rFonts w:ascii="Calibri" w:hAnsi="Calibri" w:cs="Calibri"/>
        </w:rPr>
      </w:pPr>
      <w:r>
        <w:rPr>
          <w:rFonts w:ascii="Calibri" w:hAnsi="Calibri" w:cs="Calibri"/>
        </w:rPr>
        <w:t>Be accessible to responsible managers</w:t>
      </w:r>
    </w:p>
    <w:p w14:paraId="207D4C30" w14:textId="3E3EA350" w:rsidR="00DF222E" w:rsidRDefault="00DF222E" w:rsidP="00DF222E">
      <w:pPr>
        <w:pStyle w:val="ListParagraph"/>
        <w:numPr>
          <w:ilvl w:val="0"/>
          <w:numId w:val="30"/>
        </w:numPr>
        <w:spacing w:line="312" w:lineRule="auto"/>
        <w:jc w:val="both"/>
        <w:rPr>
          <w:rFonts w:ascii="Calibri" w:hAnsi="Calibri" w:cs="Calibri"/>
        </w:rPr>
      </w:pPr>
      <w:r>
        <w:rPr>
          <w:rFonts w:ascii="Calibri" w:hAnsi="Calibri" w:cs="Calibri"/>
        </w:rPr>
        <w:lastRenderedPageBreak/>
        <w:t>Be referenced during statutory examination</w:t>
      </w:r>
    </w:p>
    <w:p w14:paraId="70498266" w14:textId="26848F61" w:rsidR="00DF222E" w:rsidRPr="00D66C84" w:rsidRDefault="00DF222E" w:rsidP="00DF222E">
      <w:pPr>
        <w:pStyle w:val="ListParagraph"/>
        <w:numPr>
          <w:ilvl w:val="0"/>
          <w:numId w:val="30"/>
        </w:numPr>
        <w:spacing w:line="312" w:lineRule="auto"/>
        <w:jc w:val="both"/>
        <w:rPr>
          <w:rFonts w:ascii="Calibri" w:hAnsi="Calibri" w:cs="Calibri"/>
        </w:rPr>
      </w:pPr>
      <w:r>
        <w:rPr>
          <w:rFonts w:ascii="Calibri" w:hAnsi="Calibri" w:cs="Calibri"/>
        </w:rPr>
        <w:t xml:space="preserve">Be reviewed when process change </w:t>
      </w:r>
      <w:proofErr w:type="gramStart"/>
      <w:r>
        <w:rPr>
          <w:rFonts w:ascii="Calibri" w:hAnsi="Calibri" w:cs="Calibri"/>
        </w:rPr>
        <w:t>occur</w:t>
      </w:r>
      <w:proofErr w:type="gramEnd"/>
    </w:p>
    <w:p w14:paraId="6CA0BC1A" w14:textId="44BEFCE3" w:rsidR="005E1E11" w:rsidRPr="00DF222E" w:rsidRDefault="00DF222E" w:rsidP="00DF222E">
      <w:pPr>
        <w:pStyle w:val="ListParagraph"/>
        <w:numPr>
          <w:ilvl w:val="0"/>
          <w:numId w:val="30"/>
        </w:numPr>
        <w:spacing w:line="312" w:lineRule="auto"/>
        <w:jc w:val="both"/>
        <w:rPr>
          <w:rFonts w:ascii="Calibri" w:hAnsi="Calibri" w:cs="Calibri"/>
        </w:rPr>
      </w:pPr>
      <w:r>
        <w:rPr>
          <w:rFonts w:ascii="Calibri" w:hAnsi="Calibri" w:cs="Calibri"/>
        </w:rPr>
        <w:t>Be included in internal audit processes</w:t>
      </w:r>
      <w:r w:rsidR="005E1E11" w:rsidRPr="00DF222E">
        <w:rPr>
          <w:rFonts w:ascii="Calibri" w:hAnsi="Calibri" w:cs="Calibri"/>
        </w:rPr>
        <w:t xml:space="preserve"> </w:t>
      </w:r>
    </w:p>
    <w:p w14:paraId="6D5D2C40" w14:textId="77777777" w:rsidR="005E1E11" w:rsidRPr="005E1E11" w:rsidRDefault="005E1E11" w:rsidP="00DD0FF9">
      <w:pPr>
        <w:spacing w:line="312" w:lineRule="auto"/>
        <w:ind w:left="142"/>
        <w:jc w:val="both"/>
        <w:rPr>
          <w:rFonts w:ascii="Calibri" w:hAnsi="Calibri" w:cs="Calibri"/>
        </w:rPr>
      </w:pPr>
      <w:r w:rsidRPr="005E1E11">
        <w:rPr>
          <w:rFonts w:ascii="Calibri" w:hAnsi="Calibri" w:cs="Calibri"/>
        </w:rPr>
        <w:t>Inadequate document control introduces avoidable risk.</w:t>
      </w:r>
    </w:p>
    <w:p w14:paraId="2A77885D" w14:textId="685D01A3" w:rsidR="005E1E11" w:rsidRDefault="005E1E11" w:rsidP="00DD0FF9">
      <w:pPr>
        <w:spacing w:line="312" w:lineRule="auto"/>
        <w:ind w:left="142"/>
        <w:jc w:val="both"/>
        <w:rPr>
          <w:rFonts w:ascii="Calibri" w:hAnsi="Calibri" w:cs="Calibri"/>
        </w:rPr>
      </w:pPr>
      <w:r w:rsidRPr="005E1E11">
        <w:rPr>
          <w:rFonts w:ascii="Calibri" w:hAnsi="Calibri" w:cs="Calibri"/>
        </w:rPr>
        <w:t>Clear linkage between commissioning benchmarks and ongoing TExT results strengthens the organisation’s ability to demonstrate systematic management of exposure control.</w:t>
      </w:r>
    </w:p>
    <w:p w14:paraId="19BBD33A" w14:textId="77777777" w:rsidR="00DF222E" w:rsidRDefault="00DF222E" w:rsidP="005804D8">
      <w:pPr>
        <w:spacing w:line="312" w:lineRule="auto"/>
        <w:jc w:val="both"/>
        <w:rPr>
          <w:rFonts w:ascii="Calibri" w:hAnsi="Calibri" w:cs="Calibri"/>
        </w:rPr>
      </w:pPr>
    </w:p>
    <w:p w14:paraId="7C6D9F00" w14:textId="413E09CC" w:rsidR="005E1E11" w:rsidRPr="00B96C7B" w:rsidRDefault="00DF222E" w:rsidP="005804D8">
      <w:pPr>
        <w:pStyle w:val="Heading2"/>
        <w:spacing w:after="160" w:line="312" w:lineRule="auto"/>
        <w:jc w:val="both"/>
      </w:pPr>
      <w:bookmarkStart w:id="34" w:name="_Toc231462506"/>
      <w:r>
        <w:t>5</w:t>
      </w:r>
      <w:r w:rsidR="005E1E11" w:rsidRPr="00B96C7B">
        <w:t>.5 Change Management and Corporate Memory</w:t>
      </w:r>
      <w:bookmarkEnd w:id="34"/>
    </w:p>
    <w:p w14:paraId="1479C8C0" w14:textId="77777777" w:rsidR="005E1E11" w:rsidRPr="005E1E11" w:rsidRDefault="005E1E11" w:rsidP="00DD0FF9">
      <w:pPr>
        <w:spacing w:line="312" w:lineRule="auto"/>
        <w:ind w:left="142"/>
        <w:jc w:val="both"/>
        <w:rPr>
          <w:rFonts w:ascii="Calibri" w:hAnsi="Calibri" w:cs="Calibri"/>
        </w:rPr>
      </w:pPr>
      <w:r w:rsidRPr="005E1E11">
        <w:rPr>
          <w:rFonts w:ascii="Calibri" w:hAnsi="Calibri" w:cs="Calibri"/>
        </w:rPr>
        <w:t>Over time, personnel change, processes evolve, and documentation may be lost or archived without context.</w:t>
      </w:r>
    </w:p>
    <w:p w14:paraId="1F172A12" w14:textId="77777777" w:rsidR="005E1E11" w:rsidRPr="005E1E11" w:rsidRDefault="005E1E11" w:rsidP="00DD0FF9">
      <w:pPr>
        <w:spacing w:line="312" w:lineRule="auto"/>
        <w:ind w:left="142"/>
        <w:jc w:val="both"/>
        <w:rPr>
          <w:rFonts w:ascii="Calibri" w:hAnsi="Calibri" w:cs="Calibri"/>
        </w:rPr>
      </w:pPr>
      <w:r w:rsidRPr="005E1E11">
        <w:rPr>
          <w:rFonts w:ascii="Calibri" w:hAnsi="Calibri" w:cs="Calibri"/>
        </w:rPr>
        <w:t>Governance requires that commissioning benchmarks are:</w:t>
      </w:r>
    </w:p>
    <w:p w14:paraId="56B5B07B" w14:textId="1FA02AFC" w:rsidR="005E1E11" w:rsidRPr="00D66C84" w:rsidRDefault="005E1E11" w:rsidP="005804D8">
      <w:pPr>
        <w:pStyle w:val="ListParagraph"/>
        <w:numPr>
          <w:ilvl w:val="0"/>
          <w:numId w:val="30"/>
        </w:numPr>
        <w:spacing w:line="312" w:lineRule="auto"/>
        <w:jc w:val="both"/>
        <w:rPr>
          <w:rFonts w:ascii="Calibri" w:hAnsi="Calibri" w:cs="Calibri"/>
        </w:rPr>
      </w:pPr>
      <w:r w:rsidRPr="00D66C84">
        <w:rPr>
          <w:rFonts w:ascii="Calibri" w:hAnsi="Calibri" w:cs="Calibri"/>
        </w:rPr>
        <w:t xml:space="preserve">Preserved </w:t>
      </w:r>
    </w:p>
    <w:p w14:paraId="13404484" w14:textId="6764E398" w:rsidR="005E1E11" w:rsidRPr="00D66C84" w:rsidRDefault="005E1E11" w:rsidP="005804D8">
      <w:pPr>
        <w:pStyle w:val="ListParagraph"/>
        <w:numPr>
          <w:ilvl w:val="0"/>
          <w:numId w:val="30"/>
        </w:numPr>
        <w:spacing w:line="312" w:lineRule="auto"/>
        <w:jc w:val="both"/>
        <w:rPr>
          <w:rFonts w:ascii="Calibri" w:hAnsi="Calibri" w:cs="Calibri"/>
        </w:rPr>
      </w:pPr>
      <w:r w:rsidRPr="00D66C84">
        <w:rPr>
          <w:rFonts w:ascii="Calibri" w:hAnsi="Calibri" w:cs="Calibri"/>
        </w:rPr>
        <w:t xml:space="preserve">Understood </w:t>
      </w:r>
    </w:p>
    <w:p w14:paraId="239129A9" w14:textId="4BD87966" w:rsidR="005E1E11" w:rsidRPr="00D66C84" w:rsidRDefault="005E1E11" w:rsidP="005804D8">
      <w:pPr>
        <w:pStyle w:val="ListParagraph"/>
        <w:numPr>
          <w:ilvl w:val="0"/>
          <w:numId w:val="30"/>
        </w:numPr>
        <w:spacing w:line="312" w:lineRule="auto"/>
        <w:jc w:val="both"/>
        <w:rPr>
          <w:rFonts w:ascii="Calibri" w:hAnsi="Calibri" w:cs="Calibri"/>
        </w:rPr>
      </w:pPr>
      <w:r w:rsidRPr="00D66C84">
        <w:rPr>
          <w:rFonts w:ascii="Calibri" w:hAnsi="Calibri" w:cs="Calibri"/>
        </w:rPr>
        <w:t xml:space="preserve">Referenced during system modification </w:t>
      </w:r>
    </w:p>
    <w:p w14:paraId="12F80A98" w14:textId="75558920" w:rsidR="005E1E11" w:rsidRPr="00D66C84" w:rsidRDefault="005E1E11" w:rsidP="005804D8">
      <w:pPr>
        <w:pStyle w:val="ListParagraph"/>
        <w:numPr>
          <w:ilvl w:val="0"/>
          <w:numId w:val="30"/>
        </w:numPr>
        <w:spacing w:line="312" w:lineRule="auto"/>
        <w:jc w:val="both"/>
        <w:rPr>
          <w:rFonts w:ascii="Calibri" w:hAnsi="Calibri" w:cs="Calibri"/>
        </w:rPr>
      </w:pPr>
      <w:r w:rsidRPr="00D66C84">
        <w:rPr>
          <w:rFonts w:ascii="Calibri" w:hAnsi="Calibri" w:cs="Calibri"/>
        </w:rPr>
        <w:t xml:space="preserve">Updated following significant change </w:t>
      </w:r>
    </w:p>
    <w:p w14:paraId="50BB26A9" w14:textId="77777777" w:rsidR="005E1E11" w:rsidRPr="005E1E11" w:rsidRDefault="005E1E11" w:rsidP="00DD0FF9">
      <w:pPr>
        <w:spacing w:line="312" w:lineRule="auto"/>
        <w:ind w:left="142"/>
        <w:jc w:val="both"/>
        <w:rPr>
          <w:rFonts w:ascii="Calibri" w:hAnsi="Calibri" w:cs="Calibri"/>
        </w:rPr>
      </w:pPr>
      <w:r w:rsidRPr="005E1E11">
        <w:rPr>
          <w:rFonts w:ascii="Calibri" w:hAnsi="Calibri" w:cs="Calibri"/>
        </w:rPr>
        <w:t>Where systems are modified without structured re-commissioning, the evidential chain may be broken.</w:t>
      </w:r>
    </w:p>
    <w:p w14:paraId="36C6F923" w14:textId="77777777" w:rsidR="005E1E11" w:rsidRPr="005E1E11" w:rsidRDefault="005E1E11" w:rsidP="00DD0FF9">
      <w:pPr>
        <w:spacing w:line="312" w:lineRule="auto"/>
        <w:ind w:left="142"/>
        <w:jc w:val="both"/>
        <w:rPr>
          <w:rFonts w:ascii="Calibri" w:hAnsi="Calibri" w:cs="Calibri"/>
        </w:rPr>
      </w:pPr>
      <w:r w:rsidRPr="005E1E11">
        <w:rPr>
          <w:rFonts w:ascii="Calibri" w:hAnsi="Calibri" w:cs="Calibri"/>
        </w:rPr>
        <w:t>Organisations must ensure that change management processes explicitly consider:</w:t>
      </w:r>
    </w:p>
    <w:p w14:paraId="0A508218" w14:textId="2073B25E" w:rsidR="005E1E11" w:rsidRPr="00D66C84" w:rsidRDefault="005E1E11" w:rsidP="005804D8">
      <w:pPr>
        <w:pStyle w:val="ListParagraph"/>
        <w:numPr>
          <w:ilvl w:val="0"/>
          <w:numId w:val="31"/>
        </w:numPr>
        <w:spacing w:line="312" w:lineRule="auto"/>
        <w:jc w:val="both"/>
        <w:rPr>
          <w:rFonts w:ascii="Calibri" w:hAnsi="Calibri" w:cs="Calibri"/>
        </w:rPr>
      </w:pPr>
      <w:r w:rsidRPr="00D66C84">
        <w:rPr>
          <w:rFonts w:ascii="Calibri" w:hAnsi="Calibri" w:cs="Calibri"/>
        </w:rPr>
        <w:t xml:space="preserve">Impact on </w:t>
      </w:r>
      <w:r w:rsidR="00D66C84">
        <w:rPr>
          <w:rFonts w:ascii="Calibri" w:hAnsi="Calibri" w:cs="Calibri"/>
        </w:rPr>
        <w:t xml:space="preserve">control effectiveness, velocities, </w:t>
      </w:r>
      <w:r w:rsidRPr="00D66C84">
        <w:rPr>
          <w:rFonts w:ascii="Calibri" w:hAnsi="Calibri" w:cs="Calibri"/>
        </w:rPr>
        <w:t>airflow</w:t>
      </w:r>
      <w:r w:rsidR="00D66C84">
        <w:rPr>
          <w:rFonts w:ascii="Calibri" w:hAnsi="Calibri" w:cs="Calibri"/>
        </w:rPr>
        <w:t>s,</w:t>
      </w:r>
      <w:r w:rsidRPr="00D66C84">
        <w:rPr>
          <w:rFonts w:ascii="Calibri" w:hAnsi="Calibri" w:cs="Calibri"/>
        </w:rPr>
        <w:t xml:space="preserve"> system resistance </w:t>
      </w:r>
      <w:r w:rsidR="00D66C84">
        <w:rPr>
          <w:rFonts w:ascii="Calibri" w:hAnsi="Calibri" w:cs="Calibri"/>
        </w:rPr>
        <w:t>etc</w:t>
      </w:r>
    </w:p>
    <w:p w14:paraId="4D9B860B" w14:textId="3DB16FB7" w:rsidR="005E1E11" w:rsidRPr="00D66C84" w:rsidRDefault="005E1E11" w:rsidP="005804D8">
      <w:pPr>
        <w:pStyle w:val="ListParagraph"/>
        <w:numPr>
          <w:ilvl w:val="0"/>
          <w:numId w:val="31"/>
        </w:numPr>
        <w:spacing w:line="312" w:lineRule="auto"/>
        <w:jc w:val="both"/>
        <w:rPr>
          <w:rFonts w:ascii="Calibri" w:hAnsi="Calibri" w:cs="Calibri"/>
        </w:rPr>
      </w:pPr>
      <w:r w:rsidRPr="00D66C84">
        <w:rPr>
          <w:rFonts w:ascii="Calibri" w:hAnsi="Calibri" w:cs="Calibri"/>
        </w:rPr>
        <w:t xml:space="preserve">Contaminant profile changes </w:t>
      </w:r>
    </w:p>
    <w:p w14:paraId="62723E18" w14:textId="34BAA0F1" w:rsidR="005E1E11" w:rsidRPr="00D66C84" w:rsidRDefault="005E1E11" w:rsidP="005804D8">
      <w:pPr>
        <w:pStyle w:val="ListParagraph"/>
        <w:numPr>
          <w:ilvl w:val="0"/>
          <w:numId w:val="31"/>
        </w:numPr>
        <w:spacing w:line="312" w:lineRule="auto"/>
        <w:jc w:val="both"/>
        <w:rPr>
          <w:rFonts w:ascii="Calibri" w:hAnsi="Calibri" w:cs="Calibri"/>
        </w:rPr>
      </w:pPr>
      <w:r w:rsidRPr="00D66C84">
        <w:rPr>
          <w:rFonts w:ascii="Calibri" w:hAnsi="Calibri" w:cs="Calibri"/>
        </w:rPr>
        <w:t xml:space="preserve">Revised performance requirements </w:t>
      </w:r>
    </w:p>
    <w:p w14:paraId="73CBDFCE" w14:textId="75BC7DBF" w:rsidR="00D66C84" w:rsidRDefault="005E1E11" w:rsidP="00DD0FF9">
      <w:pPr>
        <w:spacing w:line="312" w:lineRule="auto"/>
        <w:ind w:left="142"/>
        <w:jc w:val="both"/>
        <w:rPr>
          <w:rFonts w:ascii="Calibri" w:hAnsi="Calibri" w:cs="Calibri"/>
        </w:rPr>
      </w:pPr>
      <w:r w:rsidRPr="005E1E11">
        <w:rPr>
          <w:rFonts w:ascii="Calibri" w:hAnsi="Calibri" w:cs="Calibri"/>
        </w:rPr>
        <w:t>Failure to integrate commissioning into change management weakens governance continuity.</w:t>
      </w:r>
    </w:p>
    <w:p w14:paraId="0414CFBE" w14:textId="77777777" w:rsidR="00DF222E" w:rsidRPr="00DF222E" w:rsidRDefault="00DF222E" w:rsidP="005804D8">
      <w:pPr>
        <w:spacing w:line="312" w:lineRule="auto"/>
        <w:jc w:val="both"/>
        <w:rPr>
          <w:rFonts w:ascii="Calibri" w:hAnsi="Calibri" w:cs="Calibri"/>
        </w:rPr>
      </w:pPr>
    </w:p>
    <w:p w14:paraId="11494CC9" w14:textId="2D10C6BB" w:rsidR="005E1E11" w:rsidRPr="00B96C7B" w:rsidRDefault="00DF222E" w:rsidP="005804D8">
      <w:pPr>
        <w:pStyle w:val="Heading2"/>
        <w:spacing w:after="160" w:line="312" w:lineRule="auto"/>
        <w:jc w:val="both"/>
      </w:pPr>
      <w:bookmarkStart w:id="35" w:name="_Toc231462507"/>
      <w:r>
        <w:t>5</w:t>
      </w:r>
      <w:r w:rsidR="005E1E11" w:rsidRPr="00B96C7B">
        <w:t>.6</w:t>
      </w:r>
      <w:r w:rsidR="00D66C84" w:rsidRPr="00B96C7B">
        <w:t xml:space="preserve"> </w:t>
      </w:r>
      <w:r w:rsidR="005E1E11" w:rsidRPr="00B96C7B">
        <w:t>Board-Level Exposure</w:t>
      </w:r>
      <w:bookmarkEnd w:id="35"/>
    </w:p>
    <w:p w14:paraId="4413637B" w14:textId="5C41708D" w:rsidR="005E1E11" w:rsidRPr="005E1E11" w:rsidRDefault="005E1E11" w:rsidP="00DD0FF9">
      <w:pPr>
        <w:spacing w:line="312" w:lineRule="auto"/>
        <w:ind w:left="142"/>
        <w:jc w:val="both"/>
        <w:rPr>
          <w:rFonts w:ascii="Calibri" w:hAnsi="Calibri" w:cs="Calibri"/>
        </w:rPr>
      </w:pPr>
      <w:r w:rsidRPr="005E1E11">
        <w:rPr>
          <w:rFonts w:ascii="Calibri" w:hAnsi="Calibri" w:cs="Calibri"/>
        </w:rPr>
        <w:t>At senior leadership level, LEV commissioning may appear distant from strategic decision-making.</w:t>
      </w:r>
      <w:r w:rsidR="00D66C84">
        <w:rPr>
          <w:rFonts w:ascii="Calibri" w:hAnsi="Calibri" w:cs="Calibri"/>
        </w:rPr>
        <w:t xml:space="preserve"> </w:t>
      </w:r>
      <w:r w:rsidRPr="005E1E11">
        <w:rPr>
          <w:rFonts w:ascii="Calibri" w:hAnsi="Calibri" w:cs="Calibri"/>
        </w:rPr>
        <w:t xml:space="preserve"> </w:t>
      </w:r>
      <w:proofErr w:type="gramStart"/>
      <w:r w:rsidRPr="005E1E11">
        <w:rPr>
          <w:rFonts w:ascii="Calibri" w:hAnsi="Calibri" w:cs="Calibri"/>
        </w:rPr>
        <w:t>In reality, ineffective</w:t>
      </w:r>
      <w:proofErr w:type="gramEnd"/>
      <w:r w:rsidRPr="005E1E11">
        <w:rPr>
          <w:rFonts w:ascii="Calibri" w:hAnsi="Calibri" w:cs="Calibri"/>
        </w:rPr>
        <w:t xml:space="preserve"> exposure control carries material risk including</w:t>
      </w:r>
      <w:r w:rsidR="00D66C84">
        <w:rPr>
          <w:rFonts w:ascii="Calibri" w:hAnsi="Calibri" w:cs="Calibri"/>
        </w:rPr>
        <w:t xml:space="preserve"> potential for</w:t>
      </w:r>
      <w:r w:rsidRPr="005E1E11">
        <w:rPr>
          <w:rFonts w:ascii="Calibri" w:hAnsi="Calibri" w:cs="Calibri"/>
        </w:rPr>
        <w:t>:</w:t>
      </w:r>
    </w:p>
    <w:p w14:paraId="36DC42D2" w14:textId="4C910E2B" w:rsidR="005E1E11" w:rsidRPr="00D66C84" w:rsidRDefault="005E1E11" w:rsidP="005804D8">
      <w:pPr>
        <w:pStyle w:val="ListParagraph"/>
        <w:numPr>
          <w:ilvl w:val="0"/>
          <w:numId w:val="32"/>
        </w:numPr>
        <w:spacing w:line="312" w:lineRule="auto"/>
        <w:jc w:val="both"/>
        <w:rPr>
          <w:rFonts w:ascii="Calibri" w:hAnsi="Calibri" w:cs="Calibri"/>
        </w:rPr>
      </w:pPr>
      <w:r w:rsidRPr="00D66C84">
        <w:rPr>
          <w:rFonts w:ascii="Calibri" w:hAnsi="Calibri" w:cs="Calibri"/>
        </w:rPr>
        <w:t xml:space="preserve">Enforcement action </w:t>
      </w:r>
    </w:p>
    <w:p w14:paraId="3AFC43A9" w14:textId="78FD9530" w:rsidR="005E1E11" w:rsidRPr="00D66C84" w:rsidRDefault="005E1E11" w:rsidP="005804D8">
      <w:pPr>
        <w:pStyle w:val="ListParagraph"/>
        <w:numPr>
          <w:ilvl w:val="0"/>
          <w:numId w:val="32"/>
        </w:numPr>
        <w:spacing w:line="312" w:lineRule="auto"/>
        <w:jc w:val="both"/>
        <w:rPr>
          <w:rFonts w:ascii="Calibri" w:hAnsi="Calibri" w:cs="Calibri"/>
        </w:rPr>
      </w:pPr>
      <w:r w:rsidRPr="00D66C84">
        <w:rPr>
          <w:rFonts w:ascii="Calibri" w:hAnsi="Calibri" w:cs="Calibri"/>
        </w:rPr>
        <w:t xml:space="preserve">Civil claims </w:t>
      </w:r>
    </w:p>
    <w:p w14:paraId="7ABC8E45" w14:textId="4ED9D1FC" w:rsidR="005E1E11" w:rsidRPr="00D66C84" w:rsidRDefault="005E1E11" w:rsidP="005804D8">
      <w:pPr>
        <w:pStyle w:val="ListParagraph"/>
        <w:numPr>
          <w:ilvl w:val="0"/>
          <w:numId w:val="32"/>
        </w:numPr>
        <w:spacing w:line="312" w:lineRule="auto"/>
        <w:jc w:val="both"/>
        <w:rPr>
          <w:rFonts w:ascii="Calibri" w:hAnsi="Calibri" w:cs="Calibri"/>
        </w:rPr>
      </w:pPr>
      <w:r w:rsidRPr="00D66C84">
        <w:rPr>
          <w:rFonts w:ascii="Calibri" w:hAnsi="Calibri" w:cs="Calibri"/>
        </w:rPr>
        <w:t xml:space="preserve">Reputational damage </w:t>
      </w:r>
    </w:p>
    <w:p w14:paraId="2EAAF224" w14:textId="26E26C5B" w:rsidR="005E1E11" w:rsidRPr="00D66C84" w:rsidRDefault="005E1E11" w:rsidP="005804D8">
      <w:pPr>
        <w:pStyle w:val="ListParagraph"/>
        <w:numPr>
          <w:ilvl w:val="0"/>
          <w:numId w:val="32"/>
        </w:numPr>
        <w:spacing w:line="312" w:lineRule="auto"/>
        <w:jc w:val="both"/>
        <w:rPr>
          <w:rFonts w:ascii="Calibri" w:hAnsi="Calibri" w:cs="Calibri"/>
        </w:rPr>
      </w:pPr>
      <w:r w:rsidRPr="00D66C84">
        <w:rPr>
          <w:rFonts w:ascii="Calibri" w:hAnsi="Calibri" w:cs="Calibri"/>
        </w:rPr>
        <w:lastRenderedPageBreak/>
        <w:t xml:space="preserve">Operational disruption </w:t>
      </w:r>
    </w:p>
    <w:p w14:paraId="6F181954" w14:textId="2360B347" w:rsidR="005E1E11" w:rsidRPr="00D66C84" w:rsidRDefault="005E1E11" w:rsidP="005804D8">
      <w:pPr>
        <w:pStyle w:val="ListParagraph"/>
        <w:numPr>
          <w:ilvl w:val="0"/>
          <w:numId w:val="32"/>
        </w:numPr>
        <w:spacing w:line="312" w:lineRule="auto"/>
        <w:jc w:val="both"/>
        <w:rPr>
          <w:rFonts w:ascii="Calibri" w:hAnsi="Calibri" w:cs="Calibri"/>
        </w:rPr>
      </w:pPr>
      <w:r w:rsidRPr="00D66C84">
        <w:rPr>
          <w:rFonts w:ascii="Calibri" w:hAnsi="Calibri" w:cs="Calibri"/>
        </w:rPr>
        <w:t xml:space="preserve">Increased insurance scrutiny </w:t>
      </w:r>
    </w:p>
    <w:p w14:paraId="0A90ABF2" w14:textId="77777777" w:rsidR="005E1E11" w:rsidRPr="005E1E11" w:rsidRDefault="005E1E11" w:rsidP="00DD0FF9">
      <w:pPr>
        <w:spacing w:line="312" w:lineRule="auto"/>
        <w:ind w:left="142"/>
        <w:jc w:val="both"/>
        <w:rPr>
          <w:rFonts w:ascii="Calibri" w:hAnsi="Calibri" w:cs="Calibri"/>
        </w:rPr>
      </w:pPr>
      <w:r w:rsidRPr="005E1E11">
        <w:rPr>
          <w:rFonts w:ascii="Calibri" w:hAnsi="Calibri" w:cs="Calibri"/>
        </w:rPr>
        <w:t>Commissioning provides assurance that engineering controls — often relied upon as primary risk mitigation measures — are demonstrably capable of fulfilling their function.</w:t>
      </w:r>
    </w:p>
    <w:p w14:paraId="6B212346" w14:textId="77777777" w:rsidR="005E1E11" w:rsidRPr="005E1E11" w:rsidRDefault="005E1E11" w:rsidP="00DD0FF9">
      <w:pPr>
        <w:spacing w:line="312" w:lineRule="auto"/>
        <w:ind w:left="142"/>
        <w:jc w:val="both"/>
        <w:rPr>
          <w:rFonts w:ascii="Calibri" w:hAnsi="Calibri" w:cs="Calibri"/>
        </w:rPr>
      </w:pPr>
      <w:r w:rsidRPr="005E1E11">
        <w:rPr>
          <w:rFonts w:ascii="Calibri" w:hAnsi="Calibri" w:cs="Calibri"/>
        </w:rPr>
        <w:t>Where commissioning is robust, leadership can take confidence in the integrity of exposure control systems.</w:t>
      </w:r>
    </w:p>
    <w:p w14:paraId="715335C1" w14:textId="77777777" w:rsidR="005E1E11" w:rsidRDefault="005E1E11" w:rsidP="00DD0FF9">
      <w:pPr>
        <w:spacing w:line="312" w:lineRule="auto"/>
        <w:ind w:left="142"/>
        <w:jc w:val="both"/>
        <w:rPr>
          <w:rFonts w:ascii="Calibri" w:hAnsi="Calibri" w:cs="Calibri"/>
        </w:rPr>
      </w:pPr>
      <w:r w:rsidRPr="005E1E11">
        <w:rPr>
          <w:rFonts w:ascii="Calibri" w:hAnsi="Calibri" w:cs="Calibri"/>
        </w:rPr>
        <w:t>Where commissioning is weak, risk may be latent and undiscovered until failure occurs.</w:t>
      </w:r>
    </w:p>
    <w:p w14:paraId="6263E593" w14:textId="77777777" w:rsidR="00DF222E" w:rsidRPr="005E1E11" w:rsidRDefault="00DF222E" w:rsidP="005804D8">
      <w:pPr>
        <w:spacing w:line="312" w:lineRule="auto"/>
        <w:jc w:val="both"/>
        <w:rPr>
          <w:rFonts w:ascii="Calibri" w:hAnsi="Calibri" w:cs="Calibri"/>
        </w:rPr>
      </w:pPr>
    </w:p>
    <w:p w14:paraId="23086E3F" w14:textId="2D6B29FF" w:rsidR="005E1E11" w:rsidRPr="00B96C7B" w:rsidRDefault="00DF222E" w:rsidP="005804D8">
      <w:pPr>
        <w:pStyle w:val="Heading2"/>
        <w:spacing w:after="160" w:line="312" w:lineRule="auto"/>
        <w:jc w:val="both"/>
      </w:pPr>
      <w:bookmarkStart w:id="36" w:name="_Toc231462508"/>
      <w:r>
        <w:t>5</w:t>
      </w:r>
      <w:r w:rsidR="005E1E11" w:rsidRPr="00B96C7B">
        <w:t>.7</w:t>
      </w:r>
      <w:r w:rsidR="00D66C84" w:rsidRPr="00B96C7B">
        <w:t xml:space="preserve"> </w:t>
      </w:r>
      <w:r w:rsidR="005E1E11" w:rsidRPr="00B96C7B">
        <w:t>From Procedural Compliance to Evidential Integrity</w:t>
      </w:r>
      <w:bookmarkEnd w:id="36"/>
    </w:p>
    <w:p w14:paraId="157A3976" w14:textId="77777777" w:rsidR="005E1E11" w:rsidRPr="005E1E11" w:rsidRDefault="005E1E11" w:rsidP="00DD0FF9">
      <w:pPr>
        <w:spacing w:line="312" w:lineRule="auto"/>
        <w:ind w:left="142"/>
        <w:jc w:val="both"/>
        <w:rPr>
          <w:rFonts w:ascii="Calibri" w:hAnsi="Calibri" w:cs="Calibri"/>
        </w:rPr>
      </w:pPr>
      <w:r w:rsidRPr="005E1E11">
        <w:rPr>
          <w:rFonts w:ascii="Calibri" w:hAnsi="Calibri" w:cs="Calibri"/>
        </w:rPr>
        <w:t>Governance maturity is reflected in how commissioning is perceived internally.</w:t>
      </w:r>
    </w:p>
    <w:p w14:paraId="0CFB1DCA" w14:textId="77777777" w:rsidR="005E1E11" w:rsidRPr="00133446" w:rsidRDefault="005E1E11" w:rsidP="00DD0FF9">
      <w:pPr>
        <w:spacing w:line="312" w:lineRule="auto"/>
        <w:ind w:left="142"/>
        <w:jc w:val="both"/>
        <w:rPr>
          <w:rFonts w:ascii="Calibri" w:hAnsi="Calibri" w:cs="Calibri"/>
          <w:b/>
          <w:bCs/>
        </w:rPr>
      </w:pPr>
      <w:r w:rsidRPr="00133446">
        <w:rPr>
          <w:rFonts w:ascii="Calibri" w:hAnsi="Calibri" w:cs="Calibri"/>
          <w:b/>
          <w:bCs/>
        </w:rPr>
        <w:t>Low maturity:</w:t>
      </w:r>
    </w:p>
    <w:p w14:paraId="18B29185" w14:textId="77777777" w:rsidR="005E1E11" w:rsidRPr="00DF222E" w:rsidRDefault="005E1E11" w:rsidP="005804D8">
      <w:pPr>
        <w:spacing w:line="312" w:lineRule="auto"/>
        <w:ind w:left="720"/>
        <w:jc w:val="both"/>
        <w:rPr>
          <w:rStyle w:val="SubtleEmphasis"/>
        </w:rPr>
      </w:pPr>
      <w:r w:rsidRPr="00DF222E">
        <w:rPr>
          <w:rStyle w:val="SubtleEmphasis"/>
        </w:rPr>
        <w:t>Commissioning is treated as project completion paperwork.</w:t>
      </w:r>
    </w:p>
    <w:p w14:paraId="15856B91" w14:textId="77777777" w:rsidR="005E1E11" w:rsidRPr="00133446" w:rsidRDefault="005E1E11" w:rsidP="00DD0FF9">
      <w:pPr>
        <w:spacing w:line="312" w:lineRule="auto"/>
        <w:ind w:left="142"/>
        <w:jc w:val="both"/>
        <w:rPr>
          <w:rFonts w:ascii="Calibri" w:hAnsi="Calibri" w:cs="Calibri"/>
          <w:b/>
          <w:bCs/>
        </w:rPr>
      </w:pPr>
      <w:r w:rsidRPr="00133446">
        <w:rPr>
          <w:rFonts w:ascii="Calibri" w:hAnsi="Calibri" w:cs="Calibri"/>
          <w:b/>
          <w:bCs/>
        </w:rPr>
        <w:t>Higher maturity:</w:t>
      </w:r>
    </w:p>
    <w:p w14:paraId="3A7C61C2" w14:textId="77777777" w:rsidR="005E1E11" w:rsidRPr="00DF222E" w:rsidRDefault="005E1E11" w:rsidP="005804D8">
      <w:pPr>
        <w:spacing w:line="312" w:lineRule="auto"/>
        <w:ind w:left="720"/>
        <w:jc w:val="both"/>
        <w:rPr>
          <w:rStyle w:val="SubtleEmphasis"/>
        </w:rPr>
      </w:pPr>
      <w:r w:rsidRPr="00DF222E">
        <w:rPr>
          <w:rStyle w:val="SubtleEmphasis"/>
        </w:rPr>
        <w:t>Commissioning is recognised as the formal establishment of defensible control capability.</w:t>
      </w:r>
    </w:p>
    <w:p w14:paraId="50BF1F46" w14:textId="77777777" w:rsidR="005E1E11" w:rsidRPr="005E1E11" w:rsidRDefault="005E1E11" w:rsidP="00DD0FF9">
      <w:pPr>
        <w:spacing w:line="312" w:lineRule="auto"/>
        <w:ind w:left="142"/>
        <w:jc w:val="both"/>
        <w:rPr>
          <w:rFonts w:ascii="Calibri" w:hAnsi="Calibri" w:cs="Calibri"/>
        </w:rPr>
      </w:pPr>
      <w:r w:rsidRPr="005E1E11">
        <w:rPr>
          <w:rFonts w:ascii="Calibri" w:hAnsi="Calibri" w:cs="Calibri"/>
        </w:rPr>
        <w:t>The shift from procedural compliance to evidential integrity is central to strengthening LEV governance.</w:t>
      </w:r>
    </w:p>
    <w:p w14:paraId="62015702" w14:textId="4E86F38A" w:rsidR="005E1E11" w:rsidRPr="005E1E11" w:rsidRDefault="005E1E11" w:rsidP="00DD0FF9">
      <w:pPr>
        <w:spacing w:line="312" w:lineRule="auto"/>
        <w:ind w:left="142"/>
        <w:jc w:val="both"/>
        <w:rPr>
          <w:rFonts w:ascii="Calibri" w:hAnsi="Calibri" w:cs="Calibri"/>
        </w:rPr>
      </w:pPr>
      <w:r w:rsidRPr="005E1E11">
        <w:rPr>
          <w:rFonts w:ascii="Calibri" w:hAnsi="Calibri" w:cs="Calibri"/>
        </w:rPr>
        <w:t>Commissioning is not merely an engineering milestone.</w:t>
      </w:r>
      <w:r w:rsidR="00DF222E">
        <w:rPr>
          <w:rFonts w:ascii="Calibri" w:hAnsi="Calibri" w:cs="Calibri"/>
        </w:rPr>
        <w:t xml:space="preserve"> </w:t>
      </w:r>
      <w:r w:rsidRPr="005E1E11">
        <w:rPr>
          <w:rFonts w:ascii="Calibri" w:hAnsi="Calibri" w:cs="Calibri"/>
        </w:rPr>
        <w:t>It is a governance checkpoint.</w:t>
      </w:r>
    </w:p>
    <w:p w14:paraId="1E8E2739" w14:textId="2B3A982F" w:rsidR="00D66C84" w:rsidRDefault="00D66C84" w:rsidP="005804D8">
      <w:pPr>
        <w:spacing w:line="312" w:lineRule="auto"/>
        <w:jc w:val="both"/>
        <w:rPr>
          <w:rFonts w:ascii="Calibri" w:hAnsi="Calibri" w:cs="Calibri"/>
        </w:rPr>
      </w:pPr>
    </w:p>
    <w:p w14:paraId="6873E561" w14:textId="4DBBA63A" w:rsidR="005E1E11" w:rsidRPr="00B96C7B" w:rsidRDefault="00DF222E" w:rsidP="005804D8">
      <w:pPr>
        <w:pStyle w:val="Heading2"/>
        <w:spacing w:after="160" w:line="312" w:lineRule="auto"/>
        <w:jc w:val="both"/>
      </w:pPr>
      <w:bookmarkStart w:id="37" w:name="_Toc231462509"/>
      <w:r>
        <w:t>5</w:t>
      </w:r>
      <w:r w:rsidR="005E1E11" w:rsidRPr="00B96C7B">
        <w:t>.8</w:t>
      </w:r>
      <w:r w:rsidR="00D66C84" w:rsidRPr="00B96C7B">
        <w:t xml:space="preserve"> </w:t>
      </w:r>
      <w:r w:rsidR="005E1E11" w:rsidRPr="00B96C7B">
        <w:t>Summary</w:t>
      </w:r>
      <w:bookmarkEnd w:id="37"/>
    </w:p>
    <w:p w14:paraId="4133AB88" w14:textId="77777777" w:rsidR="005E1E11" w:rsidRPr="005E1E11" w:rsidRDefault="005E1E11" w:rsidP="00DD0FF9">
      <w:pPr>
        <w:spacing w:line="312" w:lineRule="auto"/>
        <w:ind w:left="142"/>
        <w:jc w:val="both"/>
        <w:rPr>
          <w:rFonts w:ascii="Calibri" w:hAnsi="Calibri" w:cs="Calibri"/>
        </w:rPr>
      </w:pPr>
      <w:r w:rsidRPr="005E1E11">
        <w:rPr>
          <w:rFonts w:ascii="Calibri" w:hAnsi="Calibri" w:cs="Calibri"/>
        </w:rPr>
        <w:t>For Duty Holders and senior leaders, the implications are clear:</w:t>
      </w:r>
    </w:p>
    <w:p w14:paraId="76484C75" w14:textId="1A0B50E1" w:rsidR="005E1E11" w:rsidRPr="00D66C84" w:rsidRDefault="005E1E11" w:rsidP="005804D8">
      <w:pPr>
        <w:pStyle w:val="ListParagraph"/>
        <w:numPr>
          <w:ilvl w:val="0"/>
          <w:numId w:val="33"/>
        </w:numPr>
        <w:spacing w:line="312" w:lineRule="auto"/>
        <w:jc w:val="both"/>
        <w:rPr>
          <w:rFonts w:ascii="Calibri" w:hAnsi="Calibri" w:cs="Calibri"/>
        </w:rPr>
      </w:pPr>
      <w:r w:rsidRPr="00D66C84">
        <w:rPr>
          <w:rFonts w:ascii="Calibri" w:hAnsi="Calibri" w:cs="Calibri"/>
        </w:rPr>
        <w:t xml:space="preserve">Commissioning establishes the evidential baseline for exposure control. </w:t>
      </w:r>
    </w:p>
    <w:p w14:paraId="4EAA0C5B" w14:textId="5D720B62" w:rsidR="005E1E11" w:rsidRPr="00D66C84" w:rsidRDefault="005E1E11" w:rsidP="005804D8">
      <w:pPr>
        <w:pStyle w:val="ListParagraph"/>
        <w:numPr>
          <w:ilvl w:val="0"/>
          <w:numId w:val="33"/>
        </w:numPr>
        <w:spacing w:line="312" w:lineRule="auto"/>
        <w:jc w:val="both"/>
        <w:rPr>
          <w:rFonts w:ascii="Calibri" w:hAnsi="Calibri" w:cs="Calibri"/>
        </w:rPr>
      </w:pPr>
      <w:r w:rsidRPr="00D66C84">
        <w:rPr>
          <w:rFonts w:ascii="Calibri" w:hAnsi="Calibri" w:cs="Calibri"/>
        </w:rPr>
        <w:t xml:space="preserve">TExT confirms ongoing condition relative to that baseline. </w:t>
      </w:r>
    </w:p>
    <w:p w14:paraId="6CA8CF9B" w14:textId="01AA4544" w:rsidR="005E1E11" w:rsidRPr="00D66C84" w:rsidRDefault="005E1E11" w:rsidP="005804D8">
      <w:pPr>
        <w:pStyle w:val="ListParagraph"/>
        <w:numPr>
          <w:ilvl w:val="0"/>
          <w:numId w:val="33"/>
        </w:numPr>
        <w:spacing w:line="312" w:lineRule="auto"/>
        <w:jc w:val="both"/>
        <w:rPr>
          <w:rFonts w:ascii="Calibri" w:hAnsi="Calibri" w:cs="Calibri"/>
        </w:rPr>
      </w:pPr>
      <w:r w:rsidRPr="00D66C84">
        <w:rPr>
          <w:rFonts w:ascii="Calibri" w:hAnsi="Calibri" w:cs="Calibri"/>
        </w:rPr>
        <w:t xml:space="preserve">Qualification </w:t>
      </w:r>
      <w:r w:rsidR="00D66C84">
        <w:rPr>
          <w:rFonts w:ascii="Calibri" w:hAnsi="Calibri" w:cs="Calibri"/>
        </w:rPr>
        <w:t xml:space="preserve">(of LEV Specialists) </w:t>
      </w:r>
      <w:r w:rsidRPr="00D66C84">
        <w:rPr>
          <w:rFonts w:ascii="Calibri" w:hAnsi="Calibri" w:cs="Calibri"/>
        </w:rPr>
        <w:t xml:space="preserve">does not remove </w:t>
      </w:r>
      <w:r w:rsidR="00D66C84">
        <w:rPr>
          <w:rFonts w:ascii="Calibri" w:hAnsi="Calibri" w:cs="Calibri"/>
        </w:rPr>
        <w:t xml:space="preserve">Duty Holder </w:t>
      </w:r>
      <w:r w:rsidRPr="00D66C84">
        <w:rPr>
          <w:rFonts w:ascii="Calibri" w:hAnsi="Calibri" w:cs="Calibri"/>
        </w:rPr>
        <w:t xml:space="preserve">accountability. </w:t>
      </w:r>
    </w:p>
    <w:p w14:paraId="23315144" w14:textId="64163BDA" w:rsidR="005E1E11" w:rsidRPr="00D66C84" w:rsidRDefault="005E1E11" w:rsidP="005804D8">
      <w:pPr>
        <w:pStyle w:val="ListParagraph"/>
        <w:numPr>
          <w:ilvl w:val="0"/>
          <w:numId w:val="33"/>
        </w:numPr>
        <w:spacing w:line="312" w:lineRule="auto"/>
        <w:jc w:val="both"/>
        <w:rPr>
          <w:rFonts w:ascii="Calibri" w:hAnsi="Calibri" w:cs="Calibri"/>
        </w:rPr>
      </w:pPr>
      <w:r w:rsidRPr="00D66C84">
        <w:rPr>
          <w:rFonts w:ascii="Calibri" w:hAnsi="Calibri" w:cs="Calibri"/>
        </w:rPr>
        <w:t xml:space="preserve">Documentation quality directly affects defensibility. </w:t>
      </w:r>
    </w:p>
    <w:p w14:paraId="36075D2B" w14:textId="425E37AA" w:rsidR="005E1E11" w:rsidRPr="00D66C84" w:rsidRDefault="005E1E11" w:rsidP="005804D8">
      <w:pPr>
        <w:pStyle w:val="ListParagraph"/>
        <w:numPr>
          <w:ilvl w:val="0"/>
          <w:numId w:val="33"/>
        </w:numPr>
        <w:spacing w:line="312" w:lineRule="auto"/>
        <w:jc w:val="both"/>
        <w:rPr>
          <w:rFonts w:ascii="Calibri" w:hAnsi="Calibri" w:cs="Calibri"/>
        </w:rPr>
      </w:pPr>
      <w:r w:rsidRPr="00D66C84">
        <w:rPr>
          <w:rFonts w:ascii="Calibri" w:hAnsi="Calibri" w:cs="Calibri"/>
        </w:rPr>
        <w:t xml:space="preserve">Independence strengthens assurance. </w:t>
      </w:r>
    </w:p>
    <w:p w14:paraId="538E0EB1" w14:textId="77777777" w:rsidR="005E1E11" w:rsidRPr="005E1E11" w:rsidRDefault="005E1E11" w:rsidP="003140EE">
      <w:pPr>
        <w:spacing w:line="312" w:lineRule="auto"/>
        <w:ind w:left="142"/>
        <w:jc w:val="both"/>
        <w:rPr>
          <w:rFonts w:ascii="Calibri" w:hAnsi="Calibri" w:cs="Calibri"/>
        </w:rPr>
      </w:pPr>
      <w:r w:rsidRPr="005E1E11">
        <w:rPr>
          <w:rFonts w:ascii="Calibri" w:hAnsi="Calibri" w:cs="Calibri"/>
        </w:rPr>
        <w:t>Effective governance requires that commissioning be approached with the same seriousness applied to financial audit, quality assurance, or safety-critical system verification.</w:t>
      </w:r>
    </w:p>
    <w:p w14:paraId="062D40B3" w14:textId="7A3171F7" w:rsidR="009270D8" w:rsidRPr="009270D8" w:rsidRDefault="005E1E11" w:rsidP="003140EE">
      <w:pPr>
        <w:spacing w:line="312" w:lineRule="auto"/>
        <w:ind w:left="142"/>
        <w:jc w:val="both"/>
        <w:rPr>
          <w:rFonts w:ascii="Calibri" w:hAnsi="Calibri" w:cs="Calibri"/>
        </w:rPr>
      </w:pPr>
      <w:r w:rsidRPr="005E1E11">
        <w:rPr>
          <w:rFonts w:ascii="Calibri" w:hAnsi="Calibri" w:cs="Calibri"/>
        </w:rPr>
        <w:lastRenderedPageBreak/>
        <w:t>When commissioning is structured, documented and benchmarked appropriately, it provides confidence.</w:t>
      </w:r>
      <w:r w:rsidR="009270D8">
        <w:rPr>
          <w:rFonts w:ascii="Calibri" w:hAnsi="Calibri" w:cs="Calibri"/>
        </w:rPr>
        <w:t xml:space="preserve"> </w:t>
      </w:r>
      <w:r w:rsidRPr="005E1E11">
        <w:rPr>
          <w:rFonts w:ascii="Calibri" w:hAnsi="Calibri" w:cs="Calibri"/>
        </w:rPr>
        <w:t>When it is not, organisational risk may remain hidden until challenged.</w:t>
      </w:r>
    </w:p>
    <w:p w14:paraId="23C96B84" w14:textId="1E76B8BA" w:rsidR="003A3ABA" w:rsidRPr="00B96C7B" w:rsidRDefault="003A3ABA" w:rsidP="00377AF2">
      <w:pPr>
        <w:pStyle w:val="Heading1"/>
        <w:jc w:val="both"/>
      </w:pPr>
      <w:bookmarkStart w:id="38" w:name="_Toc231462510"/>
      <w:r w:rsidRPr="00B96C7B">
        <w:t>Summary</w:t>
      </w:r>
      <w:r w:rsidR="003B7911">
        <w:t>:</w:t>
      </w:r>
      <w:r w:rsidRPr="00B96C7B">
        <w:t xml:space="preserve"> Defensible LEV Commissioning</w:t>
      </w:r>
      <w:bookmarkEnd w:id="38"/>
    </w:p>
    <w:p w14:paraId="6ACB9A12" w14:textId="77777777" w:rsidR="003A3ABA" w:rsidRPr="00B96C7B" w:rsidRDefault="003A3ABA" w:rsidP="009270D8">
      <w:pPr>
        <w:pStyle w:val="Heading2"/>
        <w:spacing w:after="160" w:line="312" w:lineRule="auto"/>
        <w:jc w:val="both"/>
      </w:pPr>
      <w:bookmarkStart w:id="39" w:name="_Toc231462511"/>
      <w:r w:rsidRPr="00B96C7B">
        <w:t>Why This Matters</w:t>
      </w:r>
      <w:bookmarkEnd w:id="39"/>
    </w:p>
    <w:p w14:paraId="1FE28C8B" w14:textId="77777777" w:rsidR="003A3ABA" w:rsidRPr="003A3ABA" w:rsidRDefault="003A3ABA" w:rsidP="00DD0FF9">
      <w:pPr>
        <w:spacing w:line="312" w:lineRule="auto"/>
        <w:ind w:left="142"/>
        <w:jc w:val="both"/>
        <w:rPr>
          <w:rFonts w:ascii="Calibri" w:hAnsi="Calibri" w:cs="Calibri"/>
        </w:rPr>
      </w:pPr>
      <w:r w:rsidRPr="003A3ABA">
        <w:rPr>
          <w:rFonts w:ascii="Calibri" w:hAnsi="Calibri" w:cs="Calibri"/>
        </w:rPr>
        <w:t xml:space="preserve">Where Local Exhaust Ventilation (LEV) is relied upon to control exposure to hazardous substances, the organisation must be able to demonstrate that the system </w:t>
      </w:r>
      <w:proofErr w:type="gramStart"/>
      <w:r w:rsidRPr="003A3ABA">
        <w:rPr>
          <w:rFonts w:ascii="Calibri" w:hAnsi="Calibri" w:cs="Calibri"/>
        </w:rPr>
        <w:t>is capable of performing</w:t>
      </w:r>
      <w:proofErr w:type="gramEnd"/>
      <w:r w:rsidRPr="003A3ABA">
        <w:rPr>
          <w:rFonts w:ascii="Calibri" w:hAnsi="Calibri" w:cs="Calibri"/>
        </w:rPr>
        <w:t xml:space="preserve"> that function.</w:t>
      </w:r>
    </w:p>
    <w:p w14:paraId="310D3D74" w14:textId="059C1337" w:rsidR="003A3ABA" w:rsidRPr="003A3ABA" w:rsidRDefault="003A3ABA" w:rsidP="00DD0FF9">
      <w:pPr>
        <w:spacing w:line="312" w:lineRule="auto"/>
        <w:ind w:left="142"/>
        <w:jc w:val="both"/>
        <w:rPr>
          <w:rFonts w:ascii="Calibri" w:hAnsi="Calibri" w:cs="Calibri"/>
        </w:rPr>
      </w:pPr>
      <w:r w:rsidRPr="003A3ABA">
        <w:rPr>
          <w:rFonts w:ascii="Calibri" w:hAnsi="Calibri" w:cs="Calibri"/>
        </w:rPr>
        <w:t>Commissioning is the stage at which this capability should be established and evidenced.</w:t>
      </w:r>
      <w:r w:rsidR="009270D8">
        <w:rPr>
          <w:rFonts w:ascii="Calibri" w:hAnsi="Calibri" w:cs="Calibri"/>
        </w:rPr>
        <w:t xml:space="preserve"> </w:t>
      </w:r>
      <w:r w:rsidRPr="003A3ABA">
        <w:rPr>
          <w:rFonts w:ascii="Calibri" w:hAnsi="Calibri" w:cs="Calibri"/>
        </w:rPr>
        <w:t>If commissioning is weak, compliance may be difficult to defend.</w:t>
      </w:r>
    </w:p>
    <w:p w14:paraId="3E5DC2DB" w14:textId="55EE1B32" w:rsidR="003A3ABA" w:rsidRPr="00B96C7B" w:rsidRDefault="009270D8" w:rsidP="009270D8">
      <w:pPr>
        <w:pStyle w:val="Heading2"/>
        <w:spacing w:after="160" w:line="312" w:lineRule="auto"/>
        <w:jc w:val="both"/>
      </w:pPr>
      <w:r>
        <w:br/>
      </w:r>
      <w:bookmarkStart w:id="40" w:name="_Toc231462512"/>
      <w:r w:rsidR="003A3ABA" w:rsidRPr="00B96C7B">
        <w:t>Key Governance Risks</w:t>
      </w:r>
      <w:bookmarkEnd w:id="40"/>
    </w:p>
    <w:p w14:paraId="2E0924F3" w14:textId="3A385EF7" w:rsidR="003A3ABA" w:rsidRPr="00C1159F" w:rsidRDefault="003A3ABA" w:rsidP="00DD0FF9">
      <w:pPr>
        <w:pStyle w:val="ListParagraph"/>
        <w:numPr>
          <w:ilvl w:val="0"/>
          <w:numId w:val="35"/>
        </w:numPr>
        <w:spacing w:line="312" w:lineRule="auto"/>
        <w:ind w:left="426"/>
        <w:jc w:val="both"/>
        <w:rPr>
          <w:rFonts w:ascii="Calibri" w:hAnsi="Calibri" w:cs="Calibri"/>
          <w:b/>
          <w:bCs/>
        </w:rPr>
      </w:pPr>
      <w:r w:rsidRPr="00C1159F">
        <w:rPr>
          <w:rFonts w:ascii="Calibri" w:hAnsi="Calibri" w:cs="Calibri"/>
          <w:b/>
          <w:bCs/>
        </w:rPr>
        <w:t>Over-reliance on Annual Testing</w:t>
      </w:r>
    </w:p>
    <w:p w14:paraId="2FDB4C81" w14:textId="1DC33B55" w:rsidR="003A3ABA" w:rsidRPr="003A3ABA" w:rsidRDefault="003A3ABA" w:rsidP="00DD0FF9">
      <w:pPr>
        <w:spacing w:line="312" w:lineRule="auto"/>
        <w:ind w:left="142"/>
        <w:jc w:val="both"/>
        <w:rPr>
          <w:rFonts w:ascii="Calibri" w:hAnsi="Calibri" w:cs="Calibri"/>
        </w:rPr>
      </w:pPr>
      <w:r w:rsidRPr="003A3ABA">
        <w:rPr>
          <w:rFonts w:ascii="Calibri" w:hAnsi="Calibri" w:cs="Calibri"/>
        </w:rPr>
        <w:t xml:space="preserve">Statutory testing </w:t>
      </w:r>
      <w:r>
        <w:rPr>
          <w:rFonts w:ascii="Calibri" w:hAnsi="Calibri" w:cs="Calibri"/>
        </w:rPr>
        <w:t xml:space="preserve">(TExT) </w:t>
      </w:r>
      <w:r w:rsidRPr="003A3ABA">
        <w:rPr>
          <w:rFonts w:ascii="Calibri" w:hAnsi="Calibri" w:cs="Calibri"/>
        </w:rPr>
        <w:t>confirms current condition.</w:t>
      </w:r>
    </w:p>
    <w:p w14:paraId="5C77E4F3" w14:textId="2A9640C8" w:rsidR="003A3ABA" w:rsidRDefault="003A3ABA" w:rsidP="00DD0FF9">
      <w:pPr>
        <w:spacing w:line="312" w:lineRule="auto"/>
        <w:ind w:left="142"/>
        <w:jc w:val="both"/>
        <w:rPr>
          <w:rFonts w:ascii="Calibri" w:hAnsi="Calibri" w:cs="Calibri"/>
        </w:rPr>
      </w:pPr>
      <w:r w:rsidRPr="003A3ABA">
        <w:rPr>
          <w:rFonts w:ascii="Calibri" w:hAnsi="Calibri" w:cs="Calibri"/>
        </w:rPr>
        <w:t xml:space="preserve">It does not prove that the system was ever capable of adequate control. </w:t>
      </w:r>
    </w:p>
    <w:p w14:paraId="5A544638" w14:textId="77777777" w:rsidR="009270D8" w:rsidRPr="00DD0FF9" w:rsidRDefault="009270D8" w:rsidP="009270D8">
      <w:pPr>
        <w:spacing w:line="312" w:lineRule="auto"/>
        <w:jc w:val="both"/>
        <w:rPr>
          <w:rFonts w:ascii="Calibri" w:hAnsi="Calibri" w:cs="Calibri"/>
          <w:sz w:val="8"/>
          <w:szCs w:val="8"/>
        </w:rPr>
      </w:pPr>
    </w:p>
    <w:p w14:paraId="68DAC560" w14:textId="2D3DD39D" w:rsidR="003A3ABA" w:rsidRPr="00C1159F" w:rsidRDefault="003A3ABA" w:rsidP="00DD0FF9">
      <w:pPr>
        <w:pStyle w:val="ListParagraph"/>
        <w:numPr>
          <w:ilvl w:val="0"/>
          <w:numId w:val="35"/>
        </w:numPr>
        <w:spacing w:line="312" w:lineRule="auto"/>
        <w:ind w:left="426"/>
        <w:jc w:val="both"/>
        <w:rPr>
          <w:rFonts w:ascii="Calibri" w:hAnsi="Calibri" w:cs="Calibri"/>
          <w:b/>
          <w:bCs/>
        </w:rPr>
      </w:pPr>
      <w:r w:rsidRPr="00C1159F">
        <w:rPr>
          <w:rFonts w:ascii="Calibri" w:hAnsi="Calibri" w:cs="Calibri"/>
          <w:b/>
          <w:bCs/>
        </w:rPr>
        <w:t>Absence of Defined Performance Benchmark</w:t>
      </w:r>
    </w:p>
    <w:p w14:paraId="2BD2D4C2" w14:textId="75AB2477" w:rsidR="003A3ABA" w:rsidRDefault="003A3ABA" w:rsidP="00DD0FF9">
      <w:pPr>
        <w:spacing w:line="312" w:lineRule="auto"/>
        <w:ind w:left="142"/>
        <w:jc w:val="both"/>
        <w:rPr>
          <w:rFonts w:ascii="Calibri" w:hAnsi="Calibri" w:cs="Calibri"/>
        </w:rPr>
      </w:pPr>
      <w:r w:rsidRPr="003A3ABA">
        <w:rPr>
          <w:rFonts w:ascii="Calibri" w:hAnsi="Calibri" w:cs="Calibri"/>
        </w:rPr>
        <w:t>Without documented benchmark values established at commissioning, ongoing testing lacks meaningful reference.</w:t>
      </w:r>
    </w:p>
    <w:p w14:paraId="22A2B07C" w14:textId="77777777" w:rsidR="003A3ABA" w:rsidRPr="00DD0FF9" w:rsidRDefault="003A3ABA" w:rsidP="009270D8">
      <w:pPr>
        <w:spacing w:line="312" w:lineRule="auto"/>
        <w:jc w:val="both"/>
        <w:rPr>
          <w:rFonts w:ascii="Calibri" w:hAnsi="Calibri" w:cs="Calibri"/>
          <w:sz w:val="8"/>
          <w:szCs w:val="8"/>
        </w:rPr>
      </w:pPr>
    </w:p>
    <w:p w14:paraId="5238EAFF" w14:textId="397BB99C" w:rsidR="003A3ABA" w:rsidRPr="00C1159F" w:rsidRDefault="003A3ABA" w:rsidP="00DD0FF9">
      <w:pPr>
        <w:pStyle w:val="ListParagraph"/>
        <w:numPr>
          <w:ilvl w:val="0"/>
          <w:numId w:val="35"/>
        </w:numPr>
        <w:spacing w:line="312" w:lineRule="auto"/>
        <w:ind w:left="426"/>
        <w:jc w:val="both"/>
        <w:rPr>
          <w:rFonts w:ascii="Calibri" w:hAnsi="Calibri" w:cs="Calibri"/>
          <w:b/>
          <w:bCs/>
        </w:rPr>
      </w:pPr>
      <w:r w:rsidRPr="00C1159F">
        <w:rPr>
          <w:rFonts w:ascii="Calibri" w:hAnsi="Calibri" w:cs="Calibri"/>
          <w:b/>
          <w:bCs/>
        </w:rPr>
        <w:t>Misinterpretation of Competence</w:t>
      </w:r>
    </w:p>
    <w:p w14:paraId="6C9C0E47" w14:textId="77777777" w:rsidR="003A3ABA" w:rsidRDefault="003A3ABA" w:rsidP="00DD0FF9">
      <w:pPr>
        <w:spacing w:line="312" w:lineRule="auto"/>
        <w:ind w:left="142"/>
        <w:jc w:val="both"/>
        <w:rPr>
          <w:rFonts w:ascii="Calibri" w:hAnsi="Calibri" w:cs="Calibri"/>
        </w:rPr>
      </w:pPr>
      <w:r w:rsidRPr="003A3ABA">
        <w:rPr>
          <w:rFonts w:ascii="Calibri" w:hAnsi="Calibri" w:cs="Calibri"/>
        </w:rPr>
        <w:t xml:space="preserve">Possession of qualifications does not remove Duty Holder accountability for ensuring commissioning competence. </w:t>
      </w:r>
    </w:p>
    <w:p w14:paraId="6FA1746D" w14:textId="77777777" w:rsidR="003A3ABA" w:rsidRPr="00DD0FF9" w:rsidRDefault="003A3ABA" w:rsidP="009270D8">
      <w:pPr>
        <w:spacing w:line="312" w:lineRule="auto"/>
        <w:jc w:val="both"/>
        <w:rPr>
          <w:rFonts w:ascii="Calibri" w:hAnsi="Calibri" w:cs="Calibri"/>
          <w:sz w:val="8"/>
          <w:szCs w:val="8"/>
        </w:rPr>
      </w:pPr>
    </w:p>
    <w:p w14:paraId="39DCAB3C" w14:textId="7C064773" w:rsidR="003A3ABA" w:rsidRPr="00C1159F" w:rsidRDefault="003A3ABA" w:rsidP="00DD0FF9">
      <w:pPr>
        <w:pStyle w:val="ListParagraph"/>
        <w:numPr>
          <w:ilvl w:val="0"/>
          <w:numId w:val="35"/>
        </w:numPr>
        <w:spacing w:line="312" w:lineRule="auto"/>
        <w:ind w:left="426"/>
        <w:jc w:val="both"/>
        <w:rPr>
          <w:rFonts w:ascii="Calibri" w:hAnsi="Calibri" w:cs="Calibri"/>
          <w:b/>
          <w:bCs/>
        </w:rPr>
      </w:pPr>
      <w:r w:rsidRPr="00C1159F">
        <w:rPr>
          <w:rFonts w:ascii="Calibri" w:hAnsi="Calibri" w:cs="Calibri"/>
          <w:b/>
          <w:bCs/>
        </w:rPr>
        <w:t>Inadequate Documentation</w:t>
      </w:r>
    </w:p>
    <w:p w14:paraId="61A1F6EF" w14:textId="1FFC5A2F" w:rsidR="003A3ABA" w:rsidRDefault="003A3ABA" w:rsidP="00DD0FF9">
      <w:pPr>
        <w:spacing w:line="312" w:lineRule="auto"/>
        <w:ind w:left="142"/>
        <w:jc w:val="both"/>
        <w:rPr>
          <w:rFonts w:ascii="Calibri" w:hAnsi="Calibri" w:cs="Calibri"/>
        </w:rPr>
      </w:pPr>
      <w:r w:rsidRPr="003A3ABA">
        <w:rPr>
          <w:rFonts w:ascii="Calibri" w:hAnsi="Calibri" w:cs="Calibri"/>
        </w:rPr>
        <w:t>Poorly structured commissioning records weaken evidential integrity during regulatory scrutiny or civil claims.</w:t>
      </w:r>
    </w:p>
    <w:p w14:paraId="71DFD9D7" w14:textId="77777777" w:rsidR="003A3ABA" w:rsidRPr="00DD0FF9" w:rsidRDefault="003A3ABA" w:rsidP="009270D8">
      <w:pPr>
        <w:spacing w:line="312" w:lineRule="auto"/>
        <w:jc w:val="both"/>
        <w:rPr>
          <w:rFonts w:ascii="Calibri" w:hAnsi="Calibri" w:cs="Calibri"/>
          <w:b/>
          <w:bCs/>
          <w:sz w:val="8"/>
          <w:szCs w:val="8"/>
        </w:rPr>
      </w:pPr>
    </w:p>
    <w:p w14:paraId="1D8B1C5F" w14:textId="33B69DDB" w:rsidR="003A3ABA" w:rsidRPr="00C1159F" w:rsidRDefault="003A3ABA" w:rsidP="00DD0FF9">
      <w:pPr>
        <w:pStyle w:val="ListParagraph"/>
        <w:numPr>
          <w:ilvl w:val="0"/>
          <w:numId w:val="35"/>
        </w:numPr>
        <w:spacing w:line="312" w:lineRule="auto"/>
        <w:ind w:left="426"/>
        <w:jc w:val="both"/>
        <w:rPr>
          <w:rFonts w:ascii="Calibri" w:hAnsi="Calibri" w:cs="Calibri"/>
          <w:b/>
          <w:bCs/>
        </w:rPr>
      </w:pPr>
      <w:r w:rsidRPr="00C1159F">
        <w:rPr>
          <w:rFonts w:ascii="Calibri" w:hAnsi="Calibri" w:cs="Calibri"/>
          <w:b/>
          <w:bCs/>
        </w:rPr>
        <w:t>Unmanaged System Changes</w:t>
      </w:r>
    </w:p>
    <w:p w14:paraId="750155FB" w14:textId="77777777" w:rsidR="003B7911" w:rsidRDefault="003A3ABA" w:rsidP="00DD0FF9">
      <w:pPr>
        <w:spacing w:line="312" w:lineRule="auto"/>
        <w:ind w:left="142"/>
        <w:jc w:val="both"/>
        <w:rPr>
          <w:rFonts w:ascii="Calibri" w:hAnsi="Calibri" w:cs="Calibri"/>
        </w:rPr>
      </w:pPr>
      <w:r w:rsidRPr="003A3ABA">
        <w:rPr>
          <w:rFonts w:ascii="Calibri" w:hAnsi="Calibri" w:cs="Calibri"/>
        </w:rPr>
        <w:t xml:space="preserve">Process modifications without re-commissioning may invalidate original performance assumptions. </w:t>
      </w:r>
    </w:p>
    <w:p w14:paraId="5A13C849" w14:textId="1A142BF5" w:rsidR="003A3ABA" w:rsidRPr="003B7911" w:rsidRDefault="003A3ABA" w:rsidP="00133446">
      <w:pPr>
        <w:pStyle w:val="Heading2"/>
        <w:spacing w:after="160" w:line="312" w:lineRule="auto"/>
        <w:rPr>
          <w:sz w:val="24"/>
          <w:szCs w:val="24"/>
        </w:rPr>
      </w:pPr>
      <w:bookmarkStart w:id="41" w:name="_Toc231462513"/>
      <w:r w:rsidRPr="003A3ABA">
        <w:lastRenderedPageBreak/>
        <w:t>What Defensible Commissioning Requires</w:t>
      </w:r>
      <w:bookmarkEnd w:id="41"/>
    </w:p>
    <w:p w14:paraId="6E8B78BD" w14:textId="6392157E" w:rsidR="003A3ABA" w:rsidRPr="003B7911" w:rsidRDefault="003A3ABA" w:rsidP="00133446">
      <w:pPr>
        <w:spacing w:line="312" w:lineRule="auto"/>
        <w:ind w:left="142"/>
        <w:jc w:val="both"/>
        <w:rPr>
          <w:rFonts w:ascii="Calibri" w:hAnsi="Calibri" w:cs="Calibri"/>
        </w:rPr>
      </w:pPr>
      <w:r w:rsidRPr="003A3ABA">
        <w:rPr>
          <w:rFonts w:ascii="Calibri" w:hAnsi="Calibri" w:cs="Calibri"/>
        </w:rPr>
        <w:t>The OXYL8 Defensible Commissioning Framework™ identifies five essential stages:</w:t>
      </w:r>
    </w:p>
    <w:p w14:paraId="400A8EC8" w14:textId="6135BB73" w:rsidR="003A3ABA" w:rsidRPr="003A3ABA" w:rsidRDefault="003A3ABA" w:rsidP="00DD0FF9">
      <w:pPr>
        <w:pStyle w:val="ListParagraph"/>
        <w:numPr>
          <w:ilvl w:val="0"/>
          <w:numId w:val="36"/>
        </w:numPr>
        <w:spacing w:line="312" w:lineRule="auto"/>
        <w:ind w:left="567"/>
        <w:jc w:val="both"/>
        <w:rPr>
          <w:rFonts w:ascii="Calibri" w:hAnsi="Calibri" w:cs="Calibri"/>
          <w:b/>
          <w:bCs/>
        </w:rPr>
      </w:pPr>
      <w:r w:rsidRPr="003A3ABA">
        <w:rPr>
          <w:rFonts w:ascii="Calibri" w:hAnsi="Calibri" w:cs="Calibri"/>
          <w:b/>
          <w:bCs/>
        </w:rPr>
        <w:t>Design Intent Definition</w:t>
      </w:r>
    </w:p>
    <w:p w14:paraId="70146977" w14:textId="1A03D999" w:rsidR="003A3ABA" w:rsidRDefault="003A3ABA" w:rsidP="00DD0FF9">
      <w:pPr>
        <w:spacing w:line="312" w:lineRule="auto"/>
        <w:ind w:left="284"/>
        <w:jc w:val="both"/>
        <w:rPr>
          <w:rFonts w:ascii="Calibri" w:hAnsi="Calibri" w:cs="Calibri"/>
        </w:rPr>
      </w:pPr>
      <w:r w:rsidRPr="003A3ABA">
        <w:rPr>
          <w:rFonts w:ascii="Calibri" w:hAnsi="Calibri" w:cs="Calibri"/>
        </w:rPr>
        <w:t>Clear articulation of hazard, control strategy and required performance.</w:t>
      </w:r>
    </w:p>
    <w:p w14:paraId="6E6B54BC" w14:textId="77777777" w:rsidR="003A3ABA" w:rsidRPr="00DD0FF9" w:rsidRDefault="003A3ABA" w:rsidP="009270D8">
      <w:pPr>
        <w:spacing w:line="312" w:lineRule="auto"/>
        <w:jc w:val="both"/>
        <w:rPr>
          <w:rFonts w:ascii="Calibri" w:hAnsi="Calibri" w:cs="Calibri"/>
          <w:sz w:val="8"/>
          <w:szCs w:val="8"/>
        </w:rPr>
      </w:pPr>
    </w:p>
    <w:p w14:paraId="5A1F0020" w14:textId="3825A64C" w:rsidR="003A3ABA" w:rsidRPr="003A3ABA" w:rsidRDefault="003A3ABA" w:rsidP="00DD0FF9">
      <w:pPr>
        <w:pStyle w:val="ListParagraph"/>
        <w:numPr>
          <w:ilvl w:val="0"/>
          <w:numId w:val="36"/>
        </w:numPr>
        <w:spacing w:line="312" w:lineRule="auto"/>
        <w:ind w:left="567"/>
        <w:jc w:val="both"/>
        <w:rPr>
          <w:rFonts w:ascii="Calibri" w:hAnsi="Calibri" w:cs="Calibri"/>
          <w:b/>
          <w:bCs/>
        </w:rPr>
      </w:pPr>
      <w:r w:rsidRPr="003A3ABA">
        <w:rPr>
          <w:rFonts w:ascii="Calibri" w:hAnsi="Calibri" w:cs="Calibri"/>
          <w:b/>
          <w:bCs/>
        </w:rPr>
        <w:t>Technical Verification</w:t>
      </w:r>
    </w:p>
    <w:p w14:paraId="7254BC3D" w14:textId="4EE3ECEF" w:rsidR="003A3ABA" w:rsidRDefault="003A3ABA" w:rsidP="00DD0FF9">
      <w:pPr>
        <w:spacing w:line="312" w:lineRule="auto"/>
        <w:ind w:left="284"/>
        <w:jc w:val="both"/>
        <w:rPr>
          <w:rFonts w:ascii="Calibri" w:hAnsi="Calibri" w:cs="Calibri"/>
        </w:rPr>
      </w:pPr>
      <w:r w:rsidRPr="003A3ABA">
        <w:rPr>
          <w:rFonts w:ascii="Calibri" w:hAnsi="Calibri" w:cs="Calibri"/>
        </w:rPr>
        <w:t>Confirmation that installed system reflects design assumptions.</w:t>
      </w:r>
    </w:p>
    <w:p w14:paraId="02905348" w14:textId="77777777" w:rsidR="003A3ABA" w:rsidRPr="00DD0FF9" w:rsidRDefault="003A3ABA" w:rsidP="009270D8">
      <w:pPr>
        <w:spacing w:line="312" w:lineRule="auto"/>
        <w:jc w:val="both"/>
        <w:rPr>
          <w:rFonts w:ascii="Calibri" w:hAnsi="Calibri" w:cs="Calibri"/>
          <w:sz w:val="8"/>
          <w:szCs w:val="8"/>
        </w:rPr>
      </w:pPr>
    </w:p>
    <w:p w14:paraId="37C67097" w14:textId="5052F625" w:rsidR="003A3ABA" w:rsidRPr="003A3ABA" w:rsidRDefault="003A3ABA" w:rsidP="00DD0FF9">
      <w:pPr>
        <w:pStyle w:val="ListParagraph"/>
        <w:numPr>
          <w:ilvl w:val="0"/>
          <w:numId w:val="36"/>
        </w:numPr>
        <w:spacing w:line="312" w:lineRule="auto"/>
        <w:ind w:left="567"/>
        <w:jc w:val="both"/>
        <w:rPr>
          <w:rFonts w:ascii="Calibri" w:hAnsi="Calibri" w:cs="Calibri"/>
          <w:b/>
          <w:bCs/>
        </w:rPr>
      </w:pPr>
      <w:r w:rsidRPr="003A3ABA">
        <w:rPr>
          <w:rFonts w:ascii="Calibri" w:hAnsi="Calibri" w:cs="Calibri"/>
          <w:b/>
          <w:bCs/>
        </w:rPr>
        <w:t>Performance Benchmarking</w:t>
      </w:r>
    </w:p>
    <w:p w14:paraId="52DA1138" w14:textId="4918FEC2" w:rsidR="003A3ABA" w:rsidRDefault="003A3ABA" w:rsidP="00DD0FF9">
      <w:pPr>
        <w:spacing w:line="312" w:lineRule="auto"/>
        <w:ind w:left="284"/>
        <w:jc w:val="both"/>
        <w:rPr>
          <w:rFonts w:ascii="Calibri" w:hAnsi="Calibri" w:cs="Calibri"/>
        </w:rPr>
      </w:pPr>
      <w:r w:rsidRPr="003A3ABA">
        <w:rPr>
          <w:rFonts w:ascii="Calibri" w:hAnsi="Calibri" w:cs="Calibri"/>
        </w:rPr>
        <w:t>Measured airflow and pressure data establishing demonstrable capability.</w:t>
      </w:r>
    </w:p>
    <w:p w14:paraId="0A0E7B4B" w14:textId="77777777" w:rsidR="003A3ABA" w:rsidRPr="00DD0FF9" w:rsidRDefault="003A3ABA" w:rsidP="009270D8">
      <w:pPr>
        <w:spacing w:line="312" w:lineRule="auto"/>
        <w:jc w:val="both"/>
        <w:rPr>
          <w:rFonts w:ascii="Calibri" w:hAnsi="Calibri" w:cs="Calibri"/>
          <w:sz w:val="8"/>
          <w:szCs w:val="8"/>
        </w:rPr>
      </w:pPr>
    </w:p>
    <w:p w14:paraId="12D36C4F" w14:textId="0CDE1171" w:rsidR="003A3ABA" w:rsidRPr="003A3ABA" w:rsidRDefault="003A3ABA" w:rsidP="00DD0FF9">
      <w:pPr>
        <w:pStyle w:val="ListParagraph"/>
        <w:numPr>
          <w:ilvl w:val="0"/>
          <w:numId w:val="36"/>
        </w:numPr>
        <w:spacing w:line="312" w:lineRule="auto"/>
        <w:ind w:left="567"/>
        <w:jc w:val="both"/>
        <w:rPr>
          <w:rFonts w:ascii="Calibri" w:hAnsi="Calibri" w:cs="Calibri"/>
          <w:b/>
          <w:bCs/>
        </w:rPr>
      </w:pPr>
      <w:r w:rsidRPr="003A3ABA">
        <w:rPr>
          <w:rFonts w:ascii="Calibri" w:hAnsi="Calibri" w:cs="Calibri"/>
          <w:b/>
          <w:bCs/>
        </w:rPr>
        <w:t>Structured Documentation</w:t>
      </w:r>
    </w:p>
    <w:p w14:paraId="53EED9CE" w14:textId="70477FA1" w:rsidR="003A3ABA" w:rsidRDefault="003A3ABA" w:rsidP="00DD0FF9">
      <w:pPr>
        <w:spacing w:line="312" w:lineRule="auto"/>
        <w:ind w:left="284"/>
        <w:jc w:val="both"/>
        <w:rPr>
          <w:rFonts w:ascii="Calibri" w:hAnsi="Calibri" w:cs="Calibri"/>
        </w:rPr>
      </w:pPr>
      <w:r w:rsidRPr="003A3ABA">
        <w:rPr>
          <w:rFonts w:ascii="Calibri" w:hAnsi="Calibri" w:cs="Calibri"/>
        </w:rPr>
        <w:t>Clear, traceable records of methodology, benchmarks and limitations.</w:t>
      </w:r>
    </w:p>
    <w:p w14:paraId="2D10060D" w14:textId="77777777" w:rsidR="003A3ABA" w:rsidRPr="00DD0FF9" w:rsidRDefault="003A3ABA" w:rsidP="009270D8">
      <w:pPr>
        <w:spacing w:line="312" w:lineRule="auto"/>
        <w:jc w:val="both"/>
        <w:rPr>
          <w:rFonts w:ascii="Calibri" w:hAnsi="Calibri" w:cs="Calibri"/>
          <w:sz w:val="8"/>
          <w:szCs w:val="8"/>
        </w:rPr>
      </w:pPr>
    </w:p>
    <w:p w14:paraId="0D269C24" w14:textId="7F7FDB11" w:rsidR="003A3ABA" w:rsidRPr="003A3ABA" w:rsidRDefault="003A3ABA" w:rsidP="00DD0FF9">
      <w:pPr>
        <w:pStyle w:val="ListParagraph"/>
        <w:numPr>
          <w:ilvl w:val="0"/>
          <w:numId w:val="36"/>
        </w:numPr>
        <w:spacing w:line="312" w:lineRule="auto"/>
        <w:ind w:left="567"/>
        <w:jc w:val="both"/>
        <w:rPr>
          <w:rFonts w:ascii="Calibri" w:hAnsi="Calibri" w:cs="Calibri"/>
          <w:b/>
          <w:bCs/>
        </w:rPr>
      </w:pPr>
      <w:r w:rsidRPr="003A3ABA">
        <w:rPr>
          <w:rFonts w:ascii="Calibri" w:hAnsi="Calibri" w:cs="Calibri"/>
          <w:b/>
          <w:bCs/>
        </w:rPr>
        <w:t>Ongoing Assurance</w:t>
      </w:r>
    </w:p>
    <w:p w14:paraId="650556BF" w14:textId="7A18C183" w:rsidR="003A3ABA" w:rsidRDefault="003A3ABA" w:rsidP="00DD0FF9">
      <w:pPr>
        <w:spacing w:line="312" w:lineRule="auto"/>
        <w:ind w:left="284"/>
        <w:jc w:val="both"/>
        <w:rPr>
          <w:rFonts w:ascii="Calibri" w:hAnsi="Calibri" w:cs="Calibri"/>
        </w:rPr>
      </w:pPr>
      <w:r w:rsidRPr="003A3ABA">
        <w:rPr>
          <w:rFonts w:ascii="Calibri" w:hAnsi="Calibri" w:cs="Calibri"/>
        </w:rPr>
        <w:t xml:space="preserve">Integration of commissioning benchmarks into statutory examination and change management. </w:t>
      </w:r>
    </w:p>
    <w:p w14:paraId="71092137" w14:textId="77777777" w:rsidR="003B7911" w:rsidRDefault="003B7911" w:rsidP="009270D8">
      <w:pPr>
        <w:spacing w:line="312" w:lineRule="auto"/>
        <w:jc w:val="both"/>
        <w:rPr>
          <w:rFonts w:ascii="Calibri" w:hAnsi="Calibri" w:cs="Calibri"/>
        </w:rPr>
      </w:pPr>
    </w:p>
    <w:p w14:paraId="14BC9F1E" w14:textId="79D7C09E" w:rsidR="003A3ABA" w:rsidRPr="00B96C7B" w:rsidRDefault="003A3ABA" w:rsidP="009270D8">
      <w:pPr>
        <w:pStyle w:val="Heading2"/>
        <w:spacing w:after="160" w:line="312" w:lineRule="auto"/>
        <w:jc w:val="both"/>
      </w:pPr>
      <w:bookmarkStart w:id="42" w:name="_Toc231462514"/>
      <w:r w:rsidRPr="00B96C7B">
        <w:t>Board-Level Questions</w:t>
      </w:r>
      <w:bookmarkEnd w:id="42"/>
    </w:p>
    <w:p w14:paraId="2330F228" w14:textId="77777777" w:rsidR="003A3ABA" w:rsidRPr="003A3ABA" w:rsidRDefault="003A3ABA" w:rsidP="003140EE">
      <w:pPr>
        <w:spacing w:line="312" w:lineRule="auto"/>
        <w:ind w:left="142"/>
        <w:jc w:val="both"/>
        <w:rPr>
          <w:rFonts w:ascii="Calibri" w:hAnsi="Calibri" w:cs="Calibri"/>
        </w:rPr>
      </w:pPr>
      <w:r w:rsidRPr="003A3ABA">
        <w:rPr>
          <w:rFonts w:ascii="Calibri" w:hAnsi="Calibri" w:cs="Calibri"/>
        </w:rPr>
        <w:t>Senior leaders should be able to answer:</w:t>
      </w:r>
    </w:p>
    <w:p w14:paraId="27C69B1C" w14:textId="4C4A3C6F" w:rsidR="003A3ABA" w:rsidRPr="00DA454A" w:rsidRDefault="003A3ABA" w:rsidP="009270D8">
      <w:pPr>
        <w:pStyle w:val="ListParagraph"/>
        <w:numPr>
          <w:ilvl w:val="0"/>
          <w:numId w:val="37"/>
        </w:numPr>
        <w:spacing w:line="312" w:lineRule="auto"/>
        <w:jc w:val="both"/>
        <w:rPr>
          <w:rFonts w:ascii="Calibri" w:hAnsi="Calibri" w:cs="Calibri"/>
        </w:rPr>
      </w:pPr>
      <w:r w:rsidRPr="00DA454A">
        <w:rPr>
          <w:rFonts w:ascii="Calibri" w:hAnsi="Calibri" w:cs="Calibri"/>
        </w:rPr>
        <w:t xml:space="preserve">Do we have documented commissioning benchmarks for our LEV systems? </w:t>
      </w:r>
    </w:p>
    <w:p w14:paraId="09394BF4" w14:textId="50DFA13C" w:rsidR="003A3ABA" w:rsidRPr="00DA454A" w:rsidRDefault="003A3ABA" w:rsidP="009270D8">
      <w:pPr>
        <w:pStyle w:val="ListParagraph"/>
        <w:numPr>
          <w:ilvl w:val="0"/>
          <w:numId w:val="37"/>
        </w:numPr>
        <w:spacing w:line="312" w:lineRule="auto"/>
        <w:jc w:val="both"/>
        <w:rPr>
          <w:rFonts w:ascii="Calibri" w:hAnsi="Calibri" w:cs="Calibri"/>
        </w:rPr>
      </w:pPr>
      <w:r w:rsidRPr="00DA454A">
        <w:rPr>
          <w:rFonts w:ascii="Calibri" w:hAnsi="Calibri" w:cs="Calibri"/>
        </w:rPr>
        <w:t xml:space="preserve">How do annual test results reference those benchmarks? </w:t>
      </w:r>
    </w:p>
    <w:p w14:paraId="76238DC1" w14:textId="6A64EC62" w:rsidR="003A3ABA" w:rsidRPr="00DA454A" w:rsidRDefault="003A3ABA" w:rsidP="009270D8">
      <w:pPr>
        <w:pStyle w:val="ListParagraph"/>
        <w:numPr>
          <w:ilvl w:val="0"/>
          <w:numId w:val="37"/>
        </w:numPr>
        <w:spacing w:line="312" w:lineRule="auto"/>
        <w:jc w:val="both"/>
        <w:rPr>
          <w:rFonts w:ascii="Calibri" w:hAnsi="Calibri" w:cs="Calibri"/>
        </w:rPr>
      </w:pPr>
      <w:r w:rsidRPr="00DA454A">
        <w:rPr>
          <w:rFonts w:ascii="Calibri" w:hAnsi="Calibri" w:cs="Calibri"/>
        </w:rPr>
        <w:t xml:space="preserve">Who verified commissioning competence, and on what basis? </w:t>
      </w:r>
    </w:p>
    <w:p w14:paraId="4D021535" w14:textId="2BA2BE11" w:rsidR="003A3ABA" w:rsidRPr="00DA454A" w:rsidRDefault="003A3ABA" w:rsidP="009270D8">
      <w:pPr>
        <w:pStyle w:val="ListParagraph"/>
        <w:numPr>
          <w:ilvl w:val="0"/>
          <w:numId w:val="37"/>
        </w:numPr>
        <w:spacing w:line="312" w:lineRule="auto"/>
        <w:jc w:val="both"/>
        <w:rPr>
          <w:rFonts w:ascii="Calibri" w:hAnsi="Calibri" w:cs="Calibri"/>
        </w:rPr>
      </w:pPr>
      <w:r w:rsidRPr="00DA454A">
        <w:rPr>
          <w:rFonts w:ascii="Calibri" w:hAnsi="Calibri" w:cs="Calibri"/>
        </w:rPr>
        <w:t xml:space="preserve">What triggers re-commissioning following system or process change? </w:t>
      </w:r>
    </w:p>
    <w:p w14:paraId="63F461E7" w14:textId="61E27DA0" w:rsidR="003A3ABA" w:rsidRPr="00DA454A" w:rsidRDefault="003A3ABA" w:rsidP="009270D8">
      <w:pPr>
        <w:pStyle w:val="ListParagraph"/>
        <w:numPr>
          <w:ilvl w:val="0"/>
          <w:numId w:val="37"/>
        </w:numPr>
        <w:spacing w:line="312" w:lineRule="auto"/>
        <w:jc w:val="both"/>
        <w:rPr>
          <w:rFonts w:ascii="Calibri" w:hAnsi="Calibri" w:cs="Calibri"/>
        </w:rPr>
      </w:pPr>
      <w:r w:rsidRPr="00DA454A">
        <w:rPr>
          <w:rFonts w:ascii="Calibri" w:hAnsi="Calibri" w:cs="Calibri"/>
        </w:rPr>
        <w:t xml:space="preserve">Where is commissioning documentation retained and reviewed? </w:t>
      </w:r>
    </w:p>
    <w:p w14:paraId="315CB7FB" w14:textId="77777777" w:rsidR="003A3ABA" w:rsidRDefault="003A3ABA" w:rsidP="003140EE">
      <w:pPr>
        <w:spacing w:line="312" w:lineRule="auto"/>
        <w:ind w:left="142"/>
        <w:jc w:val="both"/>
        <w:rPr>
          <w:rFonts w:ascii="Calibri" w:hAnsi="Calibri" w:cs="Calibri"/>
        </w:rPr>
      </w:pPr>
      <w:r w:rsidRPr="003A3ABA">
        <w:rPr>
          <w:rFonts w:ascii="Calibri" w:hAnsi="Calibri" w:cs="Calibri"/>
        </w:rPr>
        <w:t>If these questions cannot be answered clearly, governance exposure may exist.</w:t>
      </w:r>
    </w:p>
    <w:p w14:paraId="3001579A" w14:textId="77777777" w:rsidR="00133446" w:rsidRDefault="00133446" w:rsidP="003140EE">
      <w:pPr>
        <w:spacing w:line="312" w:lineRule="auto"/>
        <w:ind w:left="142"/>
        <w:jc w:val="both"/>
        <w:rPr>
          <w:rFonts w:ascii="Calibri" w:hAnsi="Calibri" w:cs="Calibri"/>
        </w:rPr>
      </w:pPr>
    </w:p>
    <w:p w14:paraId="35A37C7E" w14:textId="3EC3B0FF" w:rsidR="003A3ABA" w:rsidRPr="00B96C7B" w:rsidRDefault="003A3ABA" w:rsidP="009270D8">
      <w:pPr>
        <w:pStyle w:val="Heading2"/>
        <w:spacing w:after="160" w:line="312" w:lineRule="auto"/>
        <w:jc w:val="both"/>
      </w:pPr>
      <w:bookmarkStart w:id="43" w:name="_Toc231462515"/>
      <w:r w:rsidRPr="00B96C7B">
        <w:lastRenderedPageBreak/>
        <w:t>Strategic Position</w:t>
      </w:r>
      <w:bookmarkEnd w:id="43"/>
    </w:p>
    <w:p w14:paraId="00021BF4" w14:textId="2658BB30" w:rsidR="003A3ABA" w:rsidRPr="003A3ABA" w:rsidRDefault="003A3ABA" w:rsidP="00DD0FF9">
      <w:pPr>
        <w:spacing w:line="312" w:lineRule="auto"/>
        <w:ind w:left="142"/>
        <w:jc w:val="both"/>
        <w:rPr>
          <w:rFonts w:ascii="Calibri" w:hAnsi="Calibri" w:cs="Calibri"/>
        </w:rPr>
      </w:pPr>
      <w:r w:rsidRPr="003A3ABA">
        <w:rPr>
          <w:rFonts w:ascii="Calibri" w:hAnsi="Calibri" w:cs="Calibri"/>
        </w:rPr>
        <w:t>Commissioning is not a technical formality.</w:t>
      </w:r>
      <w:r w:rsidR="003B7911">
        <w:rPr>
          <w:rFonts w:ascii="Calibri" w:hAnsi="Calibri" w:cs="Calibri"/>
        </w:rPr>
        <w:t xml:space="preserve"> </w:t>
      </w:r>
      <w:r w:rsidRPr="003A3ABA">
        <w:rPr>
          <w:rFonts w:ascii="Calibri" w:hAnsi="Calibri" w:cs="Calibri"/>
        </w:rPr>
        <w:t>It is the point at which exposure control becomes defensible — or not.</w:t>
      </w:r>
    </w:p>
    <w:p w14:paraId="6BF70195" w14:textId="77777777" w:rsidR="003A3ABA" w:rsidRPr="003A3ABA" w:rsidRDefault="003A3ABA" w:rsidP="00DD0FF9">
      <w:pPr>
        <w:spacing w:line="312" w:lineRule="auto"/>
        <w:ind w:left="142"/>
        <w:jc w:val="both"/>
        <w:rPr>
          <w:rFonts w:ascii="Calibri" w:hAnsi="Calibri" w:cs="Calibri"/>
        </w:rPr>
      </w:pPr>
      <w:r w:rsidRPr="003A3ABA">
        <w:rPr>
          <w:rFonts w:ascii="Calibri" w:hAnsi="Calibri" w:cs="Calibri"/>
        </w:rPr>
        <w:t>Robust commissioning strengthens:</w:t>
      </w:r>
    </w:p>
    <w:p w14:paraId="7E0495D5" w14:textId="0805AC8B" w:rsidR="003A3ABA" w:rsidRPr="00DA454A" w:rsidRDefault="003A3ABA" w:rsidP="009270D8">
      <w:pPr>
        <w:pStyle w:val="ListParagraph"/>
        <w:numPr>
          <w:ilvl w:val="0"/>
          <w:numId w:val="38"/>
        </w:numPr>
        <w:spacing w:line="312" w:lineRule="auto"/>
        <w:jc w:val="both"/>
        <w:rPr>
          <w:rFonts w:ascii="Calibri" w:hAnsi="Calibri" w:cs="Calibri"/>
        </w:rPr>
      </w:pPr>
      <w:r w:rsidRPr="00DA454A">
        <w:rPr>
          <w:rFonts w:ascii="Calibri" w:hAnsi="Calibri" w:cs="Calibri"/>
        </w:rPr>
        <w:t xml:space="preserve">Regulatory assurance </w:t>
      </w:r>
    </w:p>
    <w:p w14:paraId="10F4F8F4" w14:textId="7233A3EC" w:rsidR="003A3ABA" w:rsidRPr="00DA454A" w:rsidRDefault="003A3ABA" w:rsidP="009270D8">
      <w:pPr>
        <w:pStyle w:val="ListParagraph"/>
        <w:numPr>
          <w:ilvl w:val="0"/>
          <w:numId w:val="38"/>
        </w:numPr>
        <w:spacing w:line="312" w:lineRule="auto"/>
        <w:jc w:val="both"/>
        <w:rPr>
          <w:rFonts w:ascii="Calibri" w:hAnsi="Calibri" w:cs="Calibri"/>
        </w:rPr>
      </w:pPr>
      <w:r w:rsidRPr="00DA454A">
        <w:rPr>
          <w:rFonts w:ascii="Calibri" w:hAnsi="Calibri" w:cs="Calibri"/>
        </w:rPr>
        <w:t xml:space="preserve">Organisational accountability </w:t>
      </w:r>
    </w:p>
    <w:p w14:paraId="20FF63C3" w14:textId="0224B571" w:rsidR="003A3ABA" w:rsidRPr="00DA454A" w:rsidRDefault="003A3ABA" w:rsidP="009270D8">
      <w:pPr>
        <w:pStyle w:val="ListParagraph"/>
        <w:numPr>
          <w:ilvl w:val="0"/>
          <w:numId w:val="38"/>
        </w:numPr>
        <w:spacing w:line="312" w:lineRule="auto"/>
        <w:jc w:val="both"/>
        <w:rPr>
          <w:rFonts w:ascii="Calibri" w:hAnsi="Calibri" w:cs="Calibri"/>
        </w:rPr>
      </w:pPr>
      <w:r w:rsidRPr="00DA454A">
        <w:rPr>
          <w:rFonts w:ascii="Calibri" w:hAnsi="Calibri" w:cs="Calibri"/>
        </w:rPr>
        <w:t xml:space="preserve">Worker protection </w:t>
      </w:r>
    </w:p>
    <w:p w14:paraId="00A2EF62" w14:textId="2BCEE177" w:rsidR="003A3ABA" w:rsidRPr="00DA454A" w:rsidRDefault="003A3ABA" w:rsidP="009270D8">
      <w:pPr>
        <w:pStyle w:val="ListParagraph"/>
        <w:numPr>
          <w:ilvl w:val="0"/>
          <w:numId w:val="38"/>
        </w:numPr>
        <w:spacing w:line="312" w:lineRule="auto"/>
        <w:jc w:val="both"/>
        <w:rPr>
          <w:rFonts w:ascii="Calibri" w:hAnsi="Calibri" w:cs="Calibri"/>
        </w:rPr>
      </w:pPr>
      <w:r w:rsidRPr="00DA454A">
        <w:rPr>
          <w:rFonts w:ascii="Calibri" w:hAnsi="Calibri" w:cs="Calibri"/>
        </w:rPr>
        <w:t xml:space="preserve">Corporate resilience </w:t>
      </w:r>
    </w:p>
    <w:p w14:paraId="35B20292" w14:textId="3511D9C2" w:rsidR="00F22015" w:rsidRDefault="003A3ABA" w:rsidP="00DD0FF9">
      <w:pPr>
        <w:spacing w:line="312" w:lineRule="auto"/>
        <w:ind w:left="142"/>
        <w:jc w:val="both"/>
        <w:rPr>
          <w:rFonts w:ascii="Calibri" w:hAnsi="Calibri" w:cs="Calibri"/>
        </w:rPr>
      </w:pPr>
      <w:r w:rsidRPr="003A3ABA">
        <w:rPr>
          <w:rFonts w:ascii="Calibri" w:hAnsi="Calibri" w:cs="Calibri"/>
        </w:rPr>
        <w:t>It should therefore be treated as a governance function, not merely an engineering milestone.</w:t>
      </w:r>
    </w:p>
    <w:p w14:paraId="08C43144" w14:textId="77777777" w:rsidR="00F22015" w:rsidRDefault="00F22015" w:rsidP="009270D8">
      <w:pPr>
        <w:spacing w:line="312" w:lineRule="auto"/>
        <w:jc w:val="both"/>
        <w:rPr>
          <w:rFonts w:ascii="Calibri" w:hAnsi="Calibri" w:cs="Calibri"/>
        </w:rPr>
      </w:pPr>
    </w:p>
    <w:p w14:paraId="1F351D40" w14:textId="704D1134" w:rsidR="00F22015" w:rsidRDefault="00F22015" w:rsidP="009270D8">
      <w:pPr>
        <w:spacing w:line="312" w:lineRule="auto"/>
        <w:jc w:val="both"/>
        <w:rPr>
          <w:rFonts w:ascii="Calibri" w:hAnsi="Calibri" w:cs="Calibri"/>
        </w:rPr>
      </w:pPr>
    </w:p>
    <w:p w14:paraId="1E11F8F3" w14:textId="77777777" w:rsidR="00F22015" w:rsidRDefault="00F22015" w:rsidP="009270D8">
      <w:pPr>
        <w:spacing w:line="312" w:lineRule="auto"/>
        <w:jc w:val="both"/>
        <w:rPr>
          <w:rFonts w:ascii="Calibri" w:hAnsi="Calibri" w:cs="Calibri"/>
        </w:rPr>
      </w:pPr>
    </w:p>
    <w:p w14:paraId="7151F512" w14:textId="77777777" w:rsidR="003B7911" w:rsidRDefault="003B7911" w:rsidP="009270D8">
      <w:pPr>
        <w:spacing w:line="312" w:lineRule="auto"/>
        <w:jc w:val="both"/>
        <w:rPr>
          <w:rFonts w:ascii="Calibri" w:hAnsi="Calibri" w:cs="Calibri"/>
        </w:rPr>
      </w:pPr>
    </w:p>
    <w:p w14:paraId="076715AC" w14:textId="2664F583" w:rsidR="003B7911" w:rsidRDefault="003B7911" w:rsidP="009270D8">
      <w:pPr>
        <w:spacing w:line="312" w:lineRule="auto"/>
        <w:jc w:val="both"/>
        <w:rPr>
          <w:rFonts w:ascii="Calibri" w:hAnsi="Calibri" w:cs="Calibri"/>
        </w:rPr>
      </w:pPr>
    </w:p>
    <w:p w14:paraId="443319CC" w14:textId="6924DB5E" w:rsidR="003B7911" w:rsidRDefault="003B7911" w:rsidP="009270D8">
      <w:pPr>
        <w:spacing w:line="312" w:lineRule="auto"/>
        <w:jc w:val="both"/>
        <w:rPr>
          <w:rFonts w:ascii="Calibri" w:hAnsi="Calibri" w:cs="Calibri"/>
        </w:rPr>
      </w:pPr>
    </w:p>
    <w:p w14:paraId="58447DC2" w14:textId="77777777" w:rsidR="003B7911" w:rsidRDefault="003B7911" w:rsidP="009270D8">
      <w:pPr>
        <w:spacing w:line="312" w:lineRule="auto"/>
        <w:jc w:val="both"/>
        <w:rPr>
          <w:rFonts w:ascii="Calibri" w:hAnsi="Calibri" w:cs="Calibri"/>
        </w:rPr>
      </w:pPr>
    </w:p>
    <w:p w14:paraId="563F3582" w14:textId="0D1887F8" w:rsidR="003B7911" w:rsidRDefault="003B7911" w:rsidP="009270D8">
      <w:pPr>
        <w:spacing w:line="312" w:lineRule="auto"/>
        <w:jc w:val="both"/>
        <w:rPr>
          <w:rFonts w:ascii="Calibri" w:hAnsi="Calibri" w:cs="Calibri"/>
        </w:rPr>
      </w:pPr>
    </w:p>
    <w:p w14:paraId="2EB52148" w14:textId="7FB9ABEC" w:rsidR="003B7911" w:rsidRDefault="003B7911" w:rsidP="009270D8">
      <w:pPr>
        <w:spacing w:line="312" w:lineRule="auto"/>
        <w:jc w:val="both"/>
        <w:rPr>
          <w:rFonts w:ascii="Calibri" w:hAnsi="Calibri" w:cs="Calibri"/>
        </w:rPr>
      </w:pPr>
    </w:p>
    <w:p w14:paraId="76AF496A" w14:textId="0591BFBD" w:rsidR="003B7911" w:rsidRDefault="003B7911" w:rsidP="009270D8">
      <w:pPr>
        <w:spacing w:line="312" w:lineRule="auto"/>
        <w:jc w:val="both"/>
        <w:rPr>
          <w:rFonts w:ascii="Calibri" w:hAnsi="Calibri" w:cs="Calibri"/>
        </w:rPr>
      </w:pPr>
    </w:p>
    <w:p w14:paraId="4ACC247D" w14:textId="06FB9FCC" w:rsidR="003B7911" w:rsidRDefault="003B7911" w:rsidP="009270D8">
      <w:pPr>
        <w:spacing w:line="312" w:lineRule="auto"/>
        <w:jc w:val="both"/>
        <w:rPr>
          <w:rFonts w:ascii="Calibri" w:hAnsi="Calibri" w:cs="Calibri"/>
        </w:rPr>
      </w:pPr>
    </w:p>
    <w:p w14:paraId="731C6753" w14:textId="71C9C55C" w:rsidR="003B7911" w:rsidRDefault="003B7911" w:rsidP="009270D8">
      <w:pPr>
        <w:spacing w:line="312" w:lineRule="auto"/>
        <w:jc w:val="both"/>
        <w:rPr>
          <w:rFonts w:ascii="Calibri" w:hAnsi="Calibri" w:cs="Calibri"/>
        </w:rPr>
      </w:pPr>
    </w:p>
    <w:p w14:paraId="697E8430" w14:textId="5DB76370" w:rsidR="003B7911" w:rsidRDefault="003B7911" w:rsidP="009270D8">
      <w:pPr>
        <w:spacing w:line="312" w:lineRule="auto"/>
        <w:jc w:val="both"/>
        <w:rPr>
          <w:rFonts w:ascii="Calibri" w:hAnsi="Calibri" w:cs="Calibri"/>
        </w:rPr>
      </w:pPr>
    </w:p>
    <w:p w14:paraId="2842F97C" w14:textId="6E6F4D96" w:rsidR="003B7911" w:rsidRDefault="003B7911" w:rsidP="009270D8">
      <w:pPr>
        <w:spacing w:line="312" w:lineRule="auto"/>
        <w:jc w:val="both"/>
        <w:rPr>
          <w:rFonts w:ascii="Calibri" w:hAnsi="Calibri" w:cs="Calibri"/>
        </w:rPr>
      </w:pPr>
    </w:p>
    <w:p w14:paraId="5BE1A595" w14:textId="014E34ED" w:rsidR="00DD0FF9" w:rsidRDefault="00DD0FF9" w:rsidP="009270D8">
      <w:pPr>
        <w:spacing w:line="312" w:lineRule="auto"/>
        <w:jc w:val="both"/>
        <w:rPr>
          <w:rFonts w:ascii="Calibri" w:hAnsi="Calibri" w:cs="Calibri"/>
          <w:i/>
          <w:iCs/>
        </w:rPr>
      </w:pPr>
    </w:p>
    <w:p w14:paraId="069456E8" w14:textId="5F6E9A44" w:rsidR="00DD0FF9" w:rsidRDefault="002349ED" w:rsidP="009270D8">
      <w:pPr>
        <w:spacing w:line="312" w:lineRule="auto"/>
        <w:jc w:val="both"/>
        <w:rPr>
          <w:rFonts w:ascii="Calibri" w:hAnsi="Calibri" w:cs="Calibri"/>
          <w:i/>
          <w:iCs/>
        </w:rPr>
      </w:pPr>
      <w:r>
        <w:rPr>
          <w:rFonts w:ascii="Calibri" w:hAnsi="Calibri" w:cs="Calibri"/>
          <w:noProof/>
          <w:sz w:val="28"/>
          <w:szCs w:val="28"/>
        </w:rPr>
        <mc:AlternateContent>
          <mc:Choice Requires="wps">
            <w:drawing>
              <wp:anchor distT="0" distB="0" distL="114300" distR="114300" simplePos="0" relativeHeight="251674624" behindDoc="0" locked="0" layoutInCell="1" allowOverlap="1" wp14:anchorId="4911DCE2" wp14:editId="6FBF18CF">
                <wp:simplePos x="0" y="0"/>
                <wp:positionH relativeFrom="margin">
                  <wp:posOffset>44450</wp:posOffset>
                </wp:positionH>
                <wp:positionV relativeFrom="paragraph">
                  <wp:posOffset>216535</wp:posOffset>
                </wp:positionV>
                <wp:extent cx="6070600" cy="660400"/>
                <wp:effectExtent l="0" t="0" r="25400" b="25400"/>
                <wp:wrapNone/>
                <wp:docPr id="1928117755" name="Rectangle 4"/>
                <wp:cNvGraphicFramePr/>
                <a:graphic xmlns:a="http://schemas.openxmlformats.org/drawingml/2006/main">
                  <a:graphicData uri="http://schemas.microsoft.com/office/word/2010/wordprocessingShape">
                    <wps:wsp>
                      <wps:cNvSpPr/>
                      <wps:spPr>
                        <a:xfrm>
                          <a:off x="0" y="0"/>
                          <a:ext cx="6070600" cy="660400"/>
                        </a:xfrm>
                        <a:prstGeom prst="rect">
                          <a:avLst/>
                        </a:prstGeom>
                        <a:solidFill>
                          <a:schemeClr val="accent1">
                            <a:alpha val="15000"/>
                          </a:schemeClr>
                        </a:solidFill>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9A52E" id="Rectangle 4" o:spid="_x0000_s1026" style="position:absolute;margin-left:3.5pt;margin-top:17.05pt;width:478pt;height:5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" fillcolor="#156082 [3204]" strokecolor="white [3201]" strokeweight="1.5pt">
                <v:fill opacity="9766f"/>
                <w10:wrap anchorx="margin"/>
              </v:rect>
            </w:pict>
          </mc:Fallback>
        </mc:AlternateContent>
      </w:r>
    </w:p>
    <w:p w14:paraId="2E777F4E" w14:textId="03D6B490" w:rsidR="00F22015" w:rsidRPr="00F22015" w:rsidRDefault="00F22015" w:rsidP="002349ED">
      <w:pPr>
        <w:spacing w:line="312" w:lineRule="auto"/>
        <w:ind w:left="284" w:right="390"/>
        <w:jc w:val="both"/>
        <w:rPr>
          <w:rFonts w:ascii="Calibri" w:hAnsi="Calibri" w:cs="Calibri"/>
          <w:i/>
          <w:iCs/>
        </w:rPr>
      </w:pPr>
      <w:r w:rsidRPr="00F22015">
        <w:rPr>
          <w:rFonts w:ascii="Calibri" w:hAnsi="Calibri" w:cs="Calibri"/>
          <w:i/>
          <w:iCs/>
        </w:rPr>
        <w:t>OXYL8 Defensible Commissioning Framework™ is a proprietary governance model developed by OXYL8 Ltd. All rights reserved.</w:t>
      </w:r>
    </w:p>
    <w:sectPr w:rsidR="00F22015" w:rsidRPr="00F22015" w:rsidSect="009B21C6">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45AA2" w14:textId="77777777" w:rsidR="00472DC0" w:rsidRDefault="00472DC0" w:rsidP="00B669C0">
      <w:pPr>
        <w:spacing w:after="0" w:line="240" w:lineRule="auto"/>
      </w:pPr>
      <w:r>
        <w:separator/>
      </w:r>
    </w:p>
  </w:endnote>
  <w:endnote w:type="continuationSeparator" w:id="0">
    <w:p w14:paraId="2B9486E8" w14:textId="77777777" w:rsidR="00472DC0" w:rsidRDefault="00472DC0" w:rsidP="00B66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9305048"/>
      <w:docPartObj>
        <w:docPartGallery w:val="Page Numbers (Bottom of Page)"/>
        <w:docPartUnique/>
      </w:docPartObj>
    </w:sdtPr>
    <w:sdtEndPr>
      <w:rPr>
        <w:noProof/>
      </w:rPr>
    </w:sdtEndPr>
    <w:sdtContent>
      <w:p w14:paraId="3D032503" w14:textId="04E10F55" w:rsidR="00B669C0" w:rsidRDefault="00B669C0" w:rsidP="001967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0FBD64" w14:textId="0A6AB4CA" w:rsidR="00B669C0" w:rsidRPr="001967FD" w:rsidRDefault="001967FD">
    <w:pPr>
      <w:pStyle w:val="Footer"/>
      <w:rPr>
        <w:sz w:val="16"/>
        <w:szCs w:val="16"/>
      </w:rPr>
    </w:pPr>
    <w:r w:rsidRPr="001967FD">
      <w:rPr>
        <w:rFonts w:ascii="Calibri" w:hAnsi="Calibri" w:cs="Calibri"/>
        <w:sz w:val="16"/>
        <w:szCs w:val="16"/>
      </w:rPr>
      <w:t>V1.1 June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964CA" w14:textId="77777777" w:rsidR="00472DC0" w:rsidRDefault="00472DC0" w:rsidP="00B669C0">
      <w:pPr>
        <w:spacing w:after="0" w:line="240" w:lineRule="auto"/>
      </w:pPr>
      <w:r>
        <w:separator/>
      </w:r>
    </w:p>
  </w:footnote>
  <w:footnote w:type="continuationSeparator" w:id="0">
    <w:p w14:paraId="72F8563E" w14:textId="77777777" w:rsidR="00472DC0" w:rsidRDefault="00472DC0" w:rsidP="00B669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9409B" w14:textId="00B74E8A" w:rsidR="008844E6" w:rsidRDefault="00472DC0">
    <w:pPr>
      <w:pStyle w:val="Header"/>
    </w:pPr>
    <w:r>
      <w:rPr>
        <w:noProof/>
      </w:rPr>
      <w:pict w14:anchorId="134CC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741891" o:spid="_x0000_s1026" type="#_x0000_t75" style="position:absolute;margin-left:0;margin-top:0;width:486.7pt;height:169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228CF" w14:textId="7D041659" w:rsidR="00133446" w:rsidRDefault="00133446">
    <w:pPr>
      <w:pStyle w:val="Header"/>
    </w:pPr>
    <w:r>
      <w:rPr>
        <w:noProof/>
      </w:rPr>
      <w:drawing>
        <wp:anchor distT="0" distB="0" distL="114300" distR="114300" simplePos="0" relativeHeight="251660288" behindDoc="1" locked="0" layoutInCell="1" allowOverlap="1" wp14:anchorId="556DCF06" wp14:editId="136B0E09">
          <wp:simplePos x="0" y="0"/>
          <wp:positionH relativeFrom="margin">
            <wp:align>right</wp:align>
          </wp:positionH>
          <wp:positionV relativeFrom="paragraph">
            <wp:posOffset>3810634</wp:posOffset>
          </wp:positionV>
          <wp:extent cx="5661660" cy="2056462"/>
          <wp:effectExtent l="76200" t="1314450" r="34290" b="1315720"/>
          <wp:wrapNone/>
          <wp:docPr id="2142482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82557" name="Picture 2142482557"/>
                  <pic:cNvPicPr/>
                </pic:nvPicPr>
                <pic:blipFill>
                  <a:blip r:embed="rId1">
                    <a:alphaModFix amt="5000"/>
                    <a:extLst>
                      <a:ext uri="{28A0092B-C50C-407E-A947-70E740481C1C}">
                        <a14:useLocalDpi xmlns:a14="http://schemas.microsoft.com/office/drawing/2010/main" val="0"/>
                      </a:ext>
                    </a:extLst>
                  </a:blip>
                  <a:stretch>
                    <a:fillRect/>
                  </a:stretch>
                </pic:blipFill>
                <pic:spPr>
                  <a:xfrm rot="19746042">
                    <a:off x="0" y="0"/>
                    <a:ext cx="5661660" cy="2056462"/>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D8DE5" w14:textId="71354741" w:rsidR="008844E6" w:rsidRDefault="00472DC0">
    <w:pPr>
      <w:pStyle w:val="Header"/>
    </w:pPr>
    <w:r>
      <w:rPr>
        <w:noProof/>
      </w:rPr>
      <w:pict w14:anchorId="23FB74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741890" o:spid="_x0000_s1025" type="#_x0000_t75" style="position:absolute;margin-left:0;margin-top:0;width:486.7pt;height:169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833B0"/>
    <w:multiLevelType w:val="hybridMultilevel"/>
    <w:tmpl w:val="56B85FF0"/>
    <w:lvl w:ilvl="0" w:tplc="F4422930">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6535F8"/>
    <w:multiLevelType w:val="hybridMultilevel"/>
    <w:tmpl w:val="78F6FADA"/>
    <w:lvl w:ilvl="0" w:tplc="4308D654">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8240540"/>
    <w:multiLevelType w:val="hybridMultilevel"/>
    <w:tmpl w:val="F2A419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E230DA"/>
    <w:multiLevelType w:val="hybridMultilevel"/>
    <w:tmpl w:val="87B496D6"/>
    <w:lvl w:ilvl="0" w:tplc="05F26A2C">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BBA7E55"/>
    <w:multiLevelType w:val="hybridMultilevel"/>
    <w:tmpl w:val="2BD04538"/>
    <w:lvl w:ilvl="0" w:tplc="E8CC9FF4">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C47422E"/>
    <w:multiLevelType w:val="hybridMultilevel"/>
    <w:tmpl w:val="1D9C345A"/>
    <w:lvl w:ilvl="0" w:tplc="4BDEF5F6">
      <w:start w:val="1"/>
      <w:numFmt w:val="bullet"/>
      <w:lvlText w:val=""/>
      <w:lvlJc w:val="left"/>
      <w:pPr>
        <w:ind w:left="360" w:hanging="360"/>
      </w:pPr>
      <w:rPr>
        <w:rFonts w:ascii="Symbol" w:hAnsi="Symbol" w:hint="default"/>
        <w:color w:val="EA9600"/>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6" w15:restartNumberingAfterBreak="0">
    <w:nsid w:val="0F47454A"/>
    <w:multiLevelType w:val="hybridMultilevel"/>
    <w:tmpl w:val="193A36AE"/>
    <w:lvl w:ilvl="0" w:tplc="30C8BA14">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274D0B"/>
    <w:multiLevelType w:val="hybridMultilevel"/>
    <w:tmpl w:val="F6A26C7A"/>
    <w:lvl w:ilvl="0" w:tplc="FADC8A04">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94640F1"/>
    <w:multiLevelType w:val="hybridMultilevel"/>
    <w:tmpl w:val="04885368"/>
    <w:lvl w:ilvl="0" w:tplc="19289990">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C0E6AC0"/>
    <w:multiLevelType w:val="hybridMultilevel"/>
    <w:tmpl w:val="CB6EE88C"/>
    <w:lvl w:ilvl="0" w:tplc="00AAD170">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10C7591"/>
    <w:multiLevelType w:val="hybridMultilevel"/>
    <w:tmpl w:val="2D06B2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1311364"/>
    <w:multiLevelType w:val="hybridMultilevel"/>
    <w:tmpl w:val="48484094"/>
    <w:lvl w:ilvl="0" w:tplc="DAC2EC14">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18640B7"/>
    <w:multiLevelType w:val="hybridMultilevel"/>
    <w:tmpl w:val="044E6CDE"/>
    <w:lvl w:ilvl="0" w:tplc="E35498EC">
      <w:start w:val="1"/>
      <w:numFmt w:val="bullet"/>
      <w:lvlText w:val=""/>
      <w:lvlJc w:val="left"/>
      <w:pPr>
        <w:ind w:left="1080" w:hanging="360"/>
      </w:pPr>
      <w:rPr>
        <w:rFonts w:ascii="Symbol" w:hAnsi="Symbol" w:hint="default"/>
        <w:color w:val="EA960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46E3940"/>
    <w:multiLevelType w:val="hybridMultilevel"/>
    <w:tmpl w:val="4AB6BA54"/>
    <w:lvl w:ilvl="0" w:tplc="DE5602DA">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55C0225"/>
    <w:multiLevelType w:val="hybridMultilevel"/>
    <w:tmpl w:val="EC3093B4"/>
    <w:lvl w:ilvl="0" w:tplc="E60E6042">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6014009"/>
    <w:multiLevelType w:val="hybridMultilevel"/>
    <w:tmpl w:val="051AF1C8"/>
    <w:lvl w:ilvl="0" w:tplc="24982B38">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AA93FFE"/>
    <w:multiLevelType w:val="hybridMultilevel"/>
    <w:tmpl w:val="F1B09844"/>
    <w:lvl w:ilvl="0" w:tplc="E61A357E">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B0B7F25"/>
    <w:multiLevelType w:val="hybridMultilevel"/>
    <w:tmpl w:val="F794B26C"/>
    <w:lvl w:ilvl="0" w:tplc="5736353C">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CA8592C"/>
    <w:multiLevelType w:val="hybridMultilevel"/>
    <w:tmpl w:val="B2F01A7E"/>
    <w:lvl w:ilvl="0" w:tplc="AEDCE226">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D4C6C82"/>
    <w:multiLevelType w:val="hybridMultilevel"/>
    <w:tmpl w:val="B70E135C"/>
    <w:lvl w:ilvl="0" w:tplc="329E6230">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DC6326B"/>
    <w:multiLevelType w:val="hybridMultilevel"/>
    <w:tmpl w:val="8D86C230"/>
    <w:lvl w:ilvl="0" w:tplc="559EEAEE">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5360E87"/>
    <w:multiLevelType w:val="hybridMultilevel"/>
    <w:tmpl w:val="C1E04C94"/>
    <w:lvl w:ilvl="0" w:tplc="37F05F0E">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E2A7F11"/>
    <w:multiLevelType w:val="hybridMultilevel"/>
    <w:tmpl w:val="4902629A"/>
    <w:lvl w:ilvl="0" w:tplc="1272F0B4">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322231E"/>
    <w:multiLevelType w:val="hybridMultilevel"/>
    <w:tmpl w:val="F23EEBBC"/>
    <w:lvl w:ilvl="0" w:tplc="4BDEF5F6">
      <w:start w:val="1"/>
      <w:numFmt w:val="bullet"/>
      <w:lvlText w:val=""/>
      <w:lvlJc w:val="left"/>
      <w:pPr>
        <w:ind w:left="360" w:hanging="360"/>
      </w:pPr>
      <w:rPr>
        <w:rFonts w:ascii="Symbol" w:hAnsi="Symbol" w:hint="default"/>
        <w:color w:val="EA9600"/>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4" w15:restartNumberingAfterBreak="0">
    <w:nsid w:val="46F02E2A"/>
    <w:multiLevelType w:val="hybridMultilevel"/>
    <w:tmpl w:val="B30C50C8"/>
    <w:lvl w:ilvl="0" w:tplc="629EBC64">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4F036F3"/>
    <w:multiLevelType w:val="hybridMultilevel"/>
    <w:tmpl w:val="2AE6FED4"/>
    <w:lvl w:ilvl="0" w:tplc="D5F82B2C">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5B71B42"/>
    <w:multiLevelType w:val="hybridMultilevel"/>
    <w:tmpl w:val="CDB63420"/>
    <w:lvl w:ilvl="0" w:tplc="F65482D8">
      <w:start w:val="1"/>
      <w:numFmt w:val="bullet"/>
      <w:lvlText w:val=""/>
      <w:lvlJc w:val="left"/>
      <w:pPr>
        <w:ind w:left="1080" w:hanging="360"/>
      </w:pPr>
      <w:rPr>
        <w:rFonts w:ascii="Symbol" w:hAnsi="Symbol" w:hint="default"/>
        <w:color w:val="EA960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6A53FD0"/>
    <w:multiLevelType w:val="hybridMultilevel"/>
    <w:tmpl w:val="10A00FF6"/>
    <w:lvl w:ilvl="0" w:tplc="BB16E60C">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7B27F21"/>
    <w:multiLevelType w:val="hybridMultilevel"/>
    <w:tmpl w:val="26F025D8"/>
    <w:lvl w:ilvl="0" w:tplc="4BDEF5F6">
      <w:start w:val="1"/>
      <w:numFmt w:val="bullet"/>
      <w:lvlText w:val=""/>
      <w:lvlJc w:val="left"/>
      <w:pPr>
        <w:ind w:left="1440" w:hanging="360"/>
      </w:pPr>
      <w:rPr>
        <w:rFonts w:ascii="Symbol" w:hAnsi="Symbol" w:hint="default"/>
        <w:color w:val="EA96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8C11FF3"/>
    <w:multiLevelType w:val="hybridMultilevel"/>
    <w:tmpl w:val="2EDC1098"/>
    <w:lvl w:ilvl="0" w:tplc="09CEA2BA">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DA695D"/>
    <w:multiLevelType w:val="hybridMultilevel"/>
    <w:tmpl w:val="327C3802"/>
    <w:lvl w:ilvl="0" w:tplc="30A6D24C">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21F1D93"/>
    <w:multiLevelType w:val="hybridMultilevel"/>
    <w:tmpl w:val="CE204B9C"/>
    <w:lvl w:ilvl="0" w:tplc="0EB0FA34">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BF327D5"/>
    <w:multiLevelType w:val="hybridMultilevel"/>
    <w:tmpl w:val="89B8F356"/>
    <w:lvl w:ilvl="0" w:tplc="F27E6074">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CAF4847"/>
    <w:multiLevelType w:val="hybridMultilevel"/>
    <w:tmpl w:val="1A08E8D0"/>
    <w:lvl w:ilvl="0" w:tplc="2B02515A">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DB21A32"/>
    <w:multiLevelType w:val="hybridMultilevel"/>
    <w:tmpl w:val="3BB4CC98"/>
    <w:lvl w:ilvl="0" w:tplc="822A0A72">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EEA44A4"/>
    <w:multiLevelType w:val="hybridMultilevel"/>
    <w:tmpl w:val="28C0C4BC"/>
    <w:lvl w:ilvl="0" w:tplc="FEB29248">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19534B9"/>
    <w:multiLevelType w:val="hybridMultilevel"/>
    <w:tmpl w:val="8C30A68C"/>
    <w:lvl w:ilvl="0" w:tplc="B6F20678">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3AF3EB4"/>
    <w:multiLevelType w:val="hybridMultilevel"/>
    <w:tmpl w:val="66AC6E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6DB7B89"/>
    <w:multiLevelType w:val="hybridMultilevel"/>
    <w:tmpl w:val="0420A34A"/>
    <w:lvl w:ilvl="0" w:tplc="DB46AD82">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72216FB"/>
    <w:multiLevelType w:val="hybridMultilevel"/>
    <w:tmpl w:val="43FC7526"/>
    <w:lvl w:ilvl="0" w:tplc="D5D4DD90">
      <w:start w:val="1"/>
      <w:numFmt w:val="bullet"/>
      <w:lvlText w:val=""/>
      <w:lvlJc w:val="left"/>
      <w:pPr>
        <w:ind w:left="1080" w:hanging="360"/>
      </w:pPr>
      <w:rPr>
        <w:rFonts w:ascii="Symbol" w:hAnsi="Symbol" w:hint="default"/>
        <w:color w:val="EA96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DCA0B92"/>
    <w:multiLevelType w:val="hybridMultilevel"/>
    <w:tmpl w:val="B12EC5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667829380">
    <w:abstractNumId w:val="10"/>
  </w:num>
  <w:num w:numId="2" w16cid:durableId="738483335">
    <w:abstractNumId w:val="37"/>
  </w:num>
  <w:num w:numId="3" w16cid:durableId="469596901">
    <w:abstractNumId w:val="39"/>
  </w:num>
  <w:num w:numId="4" w16cid:durableId="501090078">
    <w:abstractNumId w:val="16"/>
  </w:num>
  <w:num w:numId="5" w16cid:durableId="999701385">
    <w:abstractNumId w:val="15"/>
  </w:num>
  <w:num w:numId="6" w16cid:durableId="1317107486">
    <w:abstractNumId w:val="9"/>
  </w:num>
  <w:num w:numId="7" w16cid:durableId="638805813">
    <w:abstractNumId w:val="12"/>
  </w:num>
  <w:num w:numId="8" w16cid:durableId="1606227509">
    <w:abstractNumId w:val="17"/>
  </w:num>
  <w:num w:numId="9" w16cid:durableId="116997696">
    <w:abstractNumId w:val="34"/>
  </w:num>
  <w:num w:numId="10" w16cid:durableId="471287649">
    <w:abstractNumId w:val="7"/>
  </w:num>
  <w:num w:numId="11" w16cid:durableId="2011911273">
    <w:abstractNumId w:val="6"/>
  </w:num>
  <w:num w:numId="12" w16cid:durableId="1226140473">
    <w:abstractNumId w:val="22"/>
  </w:num>
  <w:num w:numId="13" w16cid:durableId="312220232">
    <w:abstractNumId w:val="38"/>
  </w:num>
  <w:num w:numId="14" w16cid:durableId="1306818344">
    <w:abstractNumId w:val="0"/>
  </w:num>
  <w:num w:numId="15" w16cid:durableId="292060043">
    <w:abstractNumId w:val="27"/>
  </w:num>
  <w:num w:numId="16" w16cid:durableId="411894114">
    <w:abstractNumId w:val="19"/>
  </w:num>
  <w:num w:numId="17" w16cid:durableId="37824474">
    <w:abstractNumId w:val="4"/>
  </w:num>
  <w:num w:numId="18" w16cid:durableId="2138330297">
    <w:abstractNumId w:val="1"/>
  </w:num>
  <w:num w:numId="19" w16cid:durableId="295179762">
    <w:abstractNumId w:val="13"/>
  </w:num>
  <w:num w:numId="20" w16cid:durableId="1902666565">
    <w:abstractNumId w:val="8"/>
  </w:num>
  <w:num w:numId="21" w16cid:durableId="2018269556">
    <w:abstractNumId w:val="35"/>
  </w:num>
  <w:num w:numId="22" w16cid:durableId="1867479225">
    <w:abstractNumId w:val="11"/>
  </w:num>
  <w:num w:numId="23" w16cid:durableId="2113430660">
    <w:abstractNumId w:val="36"/>
  </w:num>
  <w:num w:numId="24" w16cid:durableId="1971978787">
    <w:abstractNumId w:val="14"/>
  </w:num>
  <w:num w:numId="25" w16cid:durableId="1170950616">
    <w:abstractNumId w:val="21"/>
  </w:num>
  <w:num w:numId="26" w16cid:durableId="389304380">
    <w:abstractNumId w:val="26"/>
  </w:num>
  <w:num w:numId="27" w16cid:durableId="1678918491">
    <w:abstractNumId w:val="18"/>
  </w:num>
  <w:num w:numId="28" w16cid:durableId="1240098629">
    <w:abstractNumId w:val="3"/>
  </w:num>
  <w:num w:numId="29" w16cid:durableId="1079132753">
    <w:abstractNumId w:val="31"/>
  </w:num>
  <w:num w:numId="30" w16cid:durableId="1402408609">
    <w:abstractNumId w:val="33"/>
  </w:num>
  <w:num w:numId="31" w16cid:durableId="1391611777">
    <w:abstractNumId w:val="24"/>
  </w:num>
  <w:num w:numId="32" w16cid:durableId="619989991">
    <w:abstractNumId w:val="20"/>
  </w:num>
  <w:num w:numId="33" w16cid:durableId="2007197651">
    <w:abstractNumId w:val="25"/>
  </w:num>
  <w:num w:numId="34" w16cid:durableId="1853953353">
    <w:abstractNumId w:val="29"/>
  </w:num>
  <w:num w:numId="35" w16cid:durableId="103767511">
    <w:abstractNumId w:val="40"/>
  </w:num>
  <w:num w:numId="36" w16cid:durableId="1738894686">
    <w:abstractNumId w:val="2"/>
  </w:num>
  <w:num w:numId="37" w16cid:durableId="209196078">
    <w:abstractNumId w:val="32"/>
  </w:num>
  <w:num w:numId="38" w16cid:durableId="657658339">
    <w:abstractNumId w:val="30"/>
  </w:num>
  <w:num w:numId="39" w16cid:durableId="180315898">
    <w:abstractNumId w:val="28"/>
  </w:num>
  <w:num w:numId="40" w16cid:durableId="1093669213">
    <w:abstractNumId w:val="23"/>
  </w:num>
  <w:num w:numId="41" w16cid:durableId="6383397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E11"/>
    <w:rsid w:val="00002C89"/>
    <w:rsid w:val="00044CBA"/>
    <w:rsid w:val="00094F9D"/>
    <w:rsid w:val="000A66EE"/>
    <w:rsid w:val="000B11EF"/>
    <w:rsid w:val="000D5DD7"/>
    <w:rsid w:val="001260C2"/>
    <w:rsid w:val="00133446"/>
    <w:rsid w:val="001967FD"/>
    <w:rsid w:val="00202487"/>
    <w:rsid w:val="00207543"/>
    <w:rsid w:val="00212BFC"/>
    <w:rsid w:val="002349ED"/>
    <w:rsid w:val="00245545"/>
    <w:rsid w:val="002456E3"/>
    <w:rsid w:val="00273EAC"/>
    <w:rsid w:val="002E7ACD"/>
    <w:rsid w:val="003140EE"/>
    <w:rsid w:val="00377AF2"/>
    <w:rsid w:val="003A3ABA"/>
    <w:rsid w:val="003B02BF"/>
    <w:rsid w:val="003B7911"/>
    <w:rsid w:val="003D75E6"/>
    <w:rsid w:val="003D7CFC"/>
    <w:rsid w:val="003E258F"/>
    <w:rsid w:val="00416D70"/>
    <w:rsid w:val="00472DC0"/>
    <w:rsid w:val="004A777E"/>
    <w:rsid w:val="00554115"/>
    <w:rsid w:val="005608AB"/>
    <w:rsid w:val="005804D8"/>
    <w:rsid w:val="005B6218"/>
    <w:rsid w:val="005D6154"/>
    <w:rsid w:val="005E1E11"/>
    <w:rsid w:val="00606D76"/>
    <w:rsid w:val="00657AE8"/>
    <w:rsid w:val="00743B5F"/>
    <w:rsid w:val="007B0A46"/>
    <w:rsid w:val="007B5D9D"/>
    <w:rsid w:val="00880668"/>
    <w:rsid w:val="008844E6"/>
    <w:rsid w:val="009270D8"/>
    <w:rsid w:val="009B21C6"/>
    <w:rsid w:val="00AE0A5F"/>
    <w:rsid w:val="00B3182C"/>
    <w:rsid w:val="00B669C0"/>
    <w:rsid w:val="00B7621F"/>
    <w:rsid w:val="00B96C7B"/>
    <w:rsid w:val="00BC3DA2"/>
    <w:rsid w:val="00BC48D1"/>
    <w:rsid w:val="00BE0241"/>
    <w:rsid w:val="00C10C9B"/>
    <w:rsid w:val="00C1159F"/>
    <w:rsid w:val="00D66C84"/>
    <w:rsid w:val="00DA454A"/>
    <w:rsid w:val="00DA5959"/>
    <w:rsid w:val="00DD0FF9"/>
    <w:rsid w:val="00DF222E"/>
    <w:rsid w:val="00E40408"/>
    <w:rsid w:val="00EA70AF"/>
    <w:rsid w:val="00F22015"/>
    <w:rsid w:val="00F67316"/>
    <w:rsid w:val="00FF4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F9E032"/>
  <w15:chartTrackingRefBased/>
  <w15:docId w15:val="{251600E5-9224-4699-B55E-004D17D97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1E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E1E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1E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1E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1E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1E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1E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1E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1E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E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E1E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1E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1E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1E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1E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1E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1E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1E11"/>
    <w:rPr>
      <w:rFonts w:eastAsiaTheme="majorEastAsia" w:cstheme="majorBidi"/>
      <w:color w:val="272727" w:themeColor="text1" w:themeTint="D8"/>
    </w:rPr>
  </w:style>
  <w:style w:type="paragraph" w:styleId="Title">
    <w:name w:val="Title"/>
    <w:basedOn w:val="Normal"/>
    <w:next w:val="Normal"/>
    <w:link w:val="TitleChar"/>
    <w:uiPriority w:val="10"/>
    <w:qFormat/>
    <w:rsid w:val="005E1E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1E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1E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1E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1E11"/>
    <w:pPr>
      <w:spacing w:before="160"/>
      <w:jc w:val="center"/>
    </w:pPr>
    <w:rPr>
      <w:i/>
      <w:iCs/>
      <w:color w:val="404040" w:themeColor="text1" w:themeTint="BF"/>
    </w:rPr>
  </w:style>
  <w:style w:type="character" w:customStyle="1" w:styleId="QuoteChar">
    <w:name w:val="Quote Char"/>
    <w:basedOn w:val="DefaultParagraphFont"/>
    <w:link w:val="Quote"/>
    <w:uiPriority w:val="29"/>
    <w:rsid w:val="005E1E11"/>
    <w:rPr>
      <w:i/>
      <w:iCs/>
      <w:color w:val="404040" w:themeColor="text1" w:themeTint="BF"/>
    </w:rPr>
  </w:style>
  <w:style w:type="paragraph" w:styleId="ListParagraph">
    <w:name w:val="List Paragraph"/>
    <w:basedOn w:val="Normal"/>
    <w:uiPriority w:val="34"/>
    <w:qFormat/>
    <w:rsid w:val="005E1E11"/>
    <w:pPr>
      <w:ind w:left="720"/>
      <w:contextualSpacing/>
    </w:pPr>
  </w:style>
  <w:style w:type="character" w:styleId="IntenseEmphasis">
    <w:name w:val="Intense Emphasis"/>
    <w:basedOn w:val="DefaultParagraphFont"/>
    <w:uiPriority w:val="21"/>
    <w:qFormat/>
    <w:rsid w:val="005E1E11"/>
    <w:rPr>
      <w:i/>
      <w:iCs/>
      <w:color w:val="0F4761" w:themeColor="accent1" w:themeShade="BF"/>
    </w:rPr>
  </w:style>
  <w:style w:type="paragraph" w:styleId="IntenseQuote">
    <w:name w:val="Intense Quote"/>
    <w:basedOn w:val="Normal"/>
    <w:next w:val="Normal"/>
    <w:link w:val="IntenseQuoteChar"/>
    <w:uiPriority w:val="30"/>
    <w:qFormat/>
    <w:rsid w:val="009B21C6"/>
    <w:pPr>
      <w:pBdr>
        <w:top w:val="single" w:sz="4" w:space="10" w:color="0F4761" w:themeColor="accent1" w:themeShade="BF"/>
        <w:bottom w:val="single" w:sz="4" w:space="10" w:color="0F4761" w:themeColor="accent1" w:themeShade="BF"/>
      </w:pBdr>
      <w:spacing w:before="360" w:after="360"/>
      <w:ind w:left="864" w:right="864"/>
      <w:jc w:val="center"/>
    </w:pPr>
    <w:rPr>
      <w:i/>
      <w:iCs/>
      <w:color w:val="EA9600"/>
    </w:rPr>
  </w:style>
  <w:style w:type="character" w:customStyle="1" w:styleId="IntenseQuoteChar">
    <w:name w:val="Intense Quote Char"/>
    <w:basedOn w:val="DefaultParagraphFont"/>
    <w:link w:val="IntenseQuote"/>
    <w:uiPriority w:val="30"/>
    <w:rsid w:val="009B21C6"/>
    <w:rPr>
      <w:i/>
      <w:iCs/>
      <w:color w:val="EA9600"/>
    </w:rPr>
  </w:style>
  <w:style w:type="character" w:styleId="IntenseReference">
    <w:name w:val="Intense Reference"/>
    <w:basedOn w:val="DefaultParagraphFont"/>
    <w:uiPriority w:val="32"/>
    <w:qFormat/>
    <w:rsid w:val="005E1E11"/>
    <w:rPr>
      <w:b/>
      <w:bCs/>
      <w:smallCaps/>
      <w:color w:val="0F4761" w:themeColor="accent1" w:themeShade="BF"/>
      <w:spacing w:val="5"/>
    </w:rPr>
  </w:style>
  <w:style w:type="paragraph" w:styleId="NormalWeb">
    <w:name w:val="Normal (Web)"/>
    <w:basedOn w:val="Normal"/>
    <w:uiPriority w:val="99"/>
    <w:semiHidden/>
    <w:unhideWhenUsed/>
    <w:rsid w:val="00B669C0"/>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B669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9C0"/>
  </w:style>
  <w:style w:type="paragraph" w:styleId="Footer">
    <w:name w:val="footer"/>
    <w:basedOn w:val="Normal"/>
    <w:link w:val="FooterChar"/>
    <w:uiPriority w:val="99"/>
    <w:unhideWhenUsed/>
    <w:rsid w:val="00B669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9C0"/>
  </w:style>
  <w:style w:type="character" w:styleId="SubtleEmphasis">
    <w:name w:val="Subtle Emphasis"/>
    <w:basedOn w:val="DefaultParagraphFont"/>
    <w:uiPriority w:val="19"/>
    <w:qFormat/>
    <w:rsid w:val="00AE0A5F"/>
    <w:rPr>
      <w:i/>
      <w:iCs/>
      <w:color w:val="404040" w:themeColor="text1" w:themeTint="BF"/>
    </w:rPr>
  </w:style>
  <w:style w:type="paragraph" w:styleId="TOCHeading">
    <w:name w:val="TOC Heading"/>
    <w:basedOn w:val="Heading1"/>
    <w:next w:val="Normal"/>
    <w:uiPriority w:val="39"/>
    <w:unhideWhenUsed/>
    <w:qFormat/>
    <w:rsid w:val="007B5D9D"/>
    <w:pPr>
      <w:spacing w:before="240" w:after="0" w:line="259" w:lineRule="auto"/>
      <w:outlineLvl w:val="9"/>
    </w:pPr>
    <w:rPr>
      <w:kern w:val="0"/>
      <w:sz w:val="32"/>
      <w:szCs w:val="32"/>
      <w:lang w:val="en-US"/>
      <w14:ligatures w14:val="none"/>
    </w:rPr>
  </w:style>
  <w:style w:type="paragraph" w:styleId="TOC2">
    <w:name w:val="toc 2"/>
    <w:basedOn w:val="Normal"/>
    <w:next w:val="Normal"/>
    <w:autoRedefine/>
    <w:uiPriority w:val="39"/>
    <w:unhideWhenUsed/>
    <w:rsid w:val="00EA70AF"/>
    <w:pPr>
      <w:tabs>
        <w:tab w:val="right" w:leader="dot" w:pos="9736"/>
      </w:tabs>
      <w:spacing w:after="100" w:line="259" w:lineRule="auto"/>
      <w:ind w:left="567"/>
    </w:pPr>
    <w:rPr>
      <w:rFonts w:eastAsiaTheme="minorEastAsia" w:cs="Times New Roman"/>
      <w:kern w:val="0"/>
      <w:sz w:val="22"/>
      <w:szCs w:val="22"/>
      <w:lang w:val="en-US"/>
      <w14:ligatures w14:val="none"/>
    </w:rPr>
  </w:style>
  <w:style w:type="paragraph" w:styleId="TOC1">
    <w:name w:val="toc 1"/>
    <w:basedOn w:val="Normal"/>
    <w:next w:val="Normal"/>
    <w:autoRedefine/>
    <w:uiPriority w:val="39"/>
    <w:unhideWhenUsed/>
    <w:rsid w:val="007B5D9D"/>
    <w:pPr>
      <w:spacing w:after="100" w:line="259" w:lineRule="auto"/>
    </w:pPr>
    <w:rPr>
      <w:rFonts w:eastAsiaTheme="minorEastAsia" w:cs="Times New Roman"/>
      <w:kern w:val="0"/>
      <w:sz w:val="22"/>
      <w:szCs w:val="22"/>
      <w:lang w:val="en-US"/>
      <w14:ligatures w14:val="none"/>
    </w:rPr>
  </w:style>
  <w:style w:type="paragraph" w:styleId="TOC3">
    <w:name w:val="toc 3"/>
    <w:basedOn w:val="Normal"/>
    <w:next w:val="Normal"/>
    <w:autoRedefine/>
    <w:uiPriority w:val="39"/>
    <w:unhideWhenUsed/>
    <w:rsid w:val="007B5D9D"/>
    <w:pPr>
      <w:spacing w:after="100" w:line="259" w:lineRule="auto"/>
      <w:ind w:left="440"/>
    </w:pPr>
    <w:rPr>
      <w:rFonts w:eastAsiaTheme="minorEastAsia" w:cs="Times New Roman"/>
      <w:kern w:val="0"/>
      <w:sz w:val="22"/>
      <w:szCs w:val="22"/>
      <w:lang w:val="en-US"/>
      <w14:ligatures w14:val="none"/>
    </w:rPr>
  </w:style>
  <w:style w:type="character" w:styleId="Hyperlink">
    <w:name w:val="Hyperlink"/>
    <w:basedOn w:val="DefaultParagraphFont"/>
    <w:uiPriority w:val="99"/>
    <w:unhideWhenUsed/>
    <w:rsid w:val="007B5D9D"/>
    <w:rPr>
      <w:color w:val="467886" w:themeColor="hyperlink"/>
      <w:u w:val="single"/>
    </w:rPr>
  </w:style>
  <w:style w:type="paragraph" w:customStyle="1" w:styleId="BoxStyle">
    <w:name w:val="Box Style"/>
    <w:basedOn w:val="IntenseQuote"/>
    <w:link w:val="BoxStyleChar"/>
    <w:qFormat/>
    <w:rsid w:val="00554115"/>
  </w:style>
  <w:style w:type="character" w:customStyle="1" w:styleId="BoxStyleChar">
    <w:name w:val="Box Style Char"/>
    <w:basedOn w:val="IntenseQuoteChar"/>
    <w:link w:val="BoxStyle"/>
    <w:rsid w:val="00554115"/>
    <w:rPr>
      <w:i/>
      <w:iCs/>
      <w:color w:val="EA96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0F502-8CFB-464E-BB4F-3E84A83DA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5095</Words>
  <Characters>29045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Accounts Accounts</dc:creator>
  <cp:keywords/>
  <dc:description/>
  <cp:lastModifiedBy>Accounts Accounts</cp:lastModifiedBy>
  <cp:revision>8</cp:revision>
  <dcterms:created xsi:type="dcterms:W3CDTF">2026-06-03T15:03:00Z</dcterms:created>
  <dcterms:modified xsi:type="dcterms:W3CDTF">2026-06-04T10:22:00Z</dcterms:modified>
</cp:coreProperties>
</file>